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  <w:r>
        <w:pict>
          <v:shape id="_x0000_i1025" o:spt="136" type="#_x0000_t136" style="height:76.5pt;width:435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ascii="仿宋_GB2312" w:eastAsia="仿宋_GB2312"/>
          <w:color w:val="auto"/>
          <w:sz w:val="32"/>
        </w:rPr>
      </w:pPr>
      <w:bookmarkStart w:id="0" w:name="文号"/>
      <w:r>
        <w:rPr>
          <w:rFonts w:hint="eastAsia" w:ascii="仿宋_GB2312" w:eastAsia="仿宋_GB2312"/>
          <w:sz w:val="32"/>
        </w:rPr>
        <w:t>环境</w:t>
      </w:r>
      <w:r>
        <w:rPr>
          <w:rFonts w:hint="eastAsia" w:ascii="仿宋_GB2312" w:eastAsia="仿宋_GB2312"/>
          <w:color w:val="auto"/>
          <w:sz w:val="32"/>
        </w:rPr>
        <w:t>党〔</w:t>
      </w:r>
      <w:r>
        <w:rPr>
          <w:rFonts w:ascii="仿宋_GB2312" w:eastAsia="仿宋_GB2312"/>
          <w:color w:val="auto"/>
          <w:sz w:val="32"/>
        </w:rPr>
        <w:t>201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</w:rPr>
        <w:t>〕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</w:rPr>
        <w:t>号</w:t>
      </w:r>
      <w:bookmarkEnd w:id="0"/>
    </w:p>
    <w:p>
      <w:pPr>
        <w:spacing w:line="240" w:lineRule="exact"/>
        <w:rPr>
          <w:rFonts w:ascii="仿宋_GB2312" w:eastAsia="仿宋_GB2312"/>
          <w:color w:val="FF0000"/>
          <w:sz w:val="32"/>
          <w:u w:val="thick"/>
        </w:rPr>
      </w:pPr>
      <w:r>
        <w:rPr>
          <w:rFonts w:ascii="仿宋_GB2312" w:eastAsia="仿宋_GB2312"/>
          <w:color w:val="FF0000"/>
          <w:sz w:val="32"/>
          <w:u w:val="thick"/>
        </w:rPr>
        <w:t xml:space="preserve">                                                          </w:t>
      </w:r>
    </w:p>
    <w:p>
      <w:pPr>
        <w:spacing w:line="360" w:lineRule="exact"/>
        <w:jc w:val="center"/>
        <w:rPr>
          <w:color w:val="FF0000"/>
          <w:sz w:val="32"/>
          <w:u w:val="single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中共浙江工商大学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环境科学与工程学院</w:t>
      </w:r>
      <w:r>
        <w:rPr>
          <w:rFonts w:hint="eastAsia" w:ascii="方正小标宋简体" w:eastAsia="方正小标宋简体"/>
          <w:sz w:val="36"/>
          <w:szCs w:val="36"/>
        </w:rPr>
        <w:t>委员会</w:t>
      </w:r>
    </w:p>
    <w:p>
      <w:pPr>
        <w:spacing w:line="480" w:lineRule="exact"/>
        <w:jc w:val="center"/>
        <w:rPr>
          <w:rFonts w:hint="eastAsia" w:ascii="黑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关于修订学生党员组织发展条例的通知</w:t>
      </w:r>
    </w:p>
    <w:p>
      <w:pPr>
        <w:spacing w:line="520" w:lineRule="exact"/>
        <w:jc w:val="center"/>
        <w:rPr>
          <w:rFonts w:hint="eastAsia" w:ascii="仿宋_GB2312" w:eastAsia="仿宋_GB2312"/>
          <w:sz w:val="30"/>
          <w:szCs w:val="30"/>
          <w:shd w:val="clear" w:color="FFFFFF" w:fill="D9D9D9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各党支部：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为进一步加强和规范发展学生党员工作，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根据《中国共产党章程》、《中国共产党发展党员工作细则》等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最新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文件精神及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校党委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学生党员发展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要求，结合我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学生党员组织发展条例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进行修订，请贯彻执行。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64" w:firstLineChars="1016"/>
        <w:jc w:val="both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中共浙江工商大学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环境科学与工程学院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中共浙江工商大学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</w:rPr>
        <w:t>环境科学与工程学院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</w:rPr>
        <w:t>学生党员组织发展条例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发展党员工作是党的建设一项经常性的重要工作。党的基层组织应当把吸收具有马克思主义信仰、共产主义觉悟和中国特色社会主义信念，自觉践行社会主义核心价值观的先进分子入党，作为一项经常性重要工作。为进一步加强和规范发展党员工作，根据《中国共产党章程》、《中国共产党发展党员工作细则》等文件精神，结合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实际，制定本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条例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第二条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发展党员工作应当贯彻党的基本理论、基本路线、基本纲领、基本经验、基本要求，按照控制总量、优化结构、提高质量、发挥作用的总要求，坚持党章规定的党员标准，始终把政治标准放在首位；坚持慎重发展、均衡发展，有领导、有计划地进行；坚持入党自愿原则和个别吸收原则，成熟一个，发展一个。禁止突击发展，反对“关门主义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第三条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必须坚持党章规定的入党条件和程序，规范发展党员工作，实行公示制，做到民主、公开、公正。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</w:rPr>
        <w:t>入党积极分子的确定和培养教育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年满十八岁的学生，承认党的纲领和章程，愿意参加党的一个组织并在其中积极工作、执行党的决议和按期交纳党费的，可以申请加入中国共产党。入党申请人应当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党组织提出入党申请。党组织收到入党申请书后，应当在一个月内派人同入党申请人谈话，了解基本情况，并对入党申请人进行公示。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在入党申请人中确定入党积极分子，采取群团组织推优等方式产生人选，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填写《入党择优推荐表》，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由支部委员会研究票决，公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示后报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党委备案。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各团支部择优推荐名额由学院党委根据各团支部团员数、符合择优推荐基本条件的团员数等综合考虑确定，对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得院级及以上“优良学风班”、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“优秀团支部”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等荣誉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团支部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增加推荐名额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（一）团支部择优推荐基本条件：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具有马克思主义信仰、共产主义觉悟和中国特色社会主义信念，自觉践行社会主义核心价值观，主动向党组织递交入党申请书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，党组织培养教育考察满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自觉履行团员义务，遵守团的章程，无违法乱纪行为；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学习刻苦，成绩优良，前一学期无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课程；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前一学年素质评价基本项排名（或前一学期文化课加权平均成绩排名），一、二年级列班级或专业前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0%以内（含），三、四年级列班级或专业前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0%以内（含）。其中，文化课成绩不含任意选修课，体育成绩必须合格；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当年度学生干部考核等级为优秀的团员（考核等级以校团委发文为准），素质评价基本项或文化课成绩排名放宽10%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在上批次推优至本批次推优期间未受到学院或学校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通报批评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及以上处分；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上述素质评价基本项或文化课成绩排名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要求但对学院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做出突出贡献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，经学院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讨论，可破格推荐。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（二）团员除符合上述基本条件外，如符合以下条件之一者，给予优先推荐：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担任过新生班主任助理，且考核合格；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所在寝室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或个人在每年度的文明寝室建设中受学院或学校表彰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获省部级（含）以上学科竞赛三等奖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以上（挑战杯、节能减排大赛等），排名前三；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以第一作者发表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论文或发明实用新型专利；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省级或国家级创新项目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获立项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，排名前三；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省部级（含）以上各类文艺竞赛或汇演三等奖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以上，主要成员；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英语六级超过520分或托福达90分（含）、雅思6.5分（含）以上；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其他未列获奖、科研等成果是否符合优先推荐条件，报学院党委讨论决定。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党支部每半年对入党积极分子进行一次考察，将入党积极分子的思想政治、学习工作和作风等现实表现如实记录到《入党积极分子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和发展对象培养教育考察登记表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》中，并给予及时的帮助教育。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党员发展对象的确定和考察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对经过一年以上培养教育和考察、基本具备党员条件的入党积极分子，在充分听取党小组、培养联系人、党员和群众意见的基础上，经支部委员会讨论票决，在《入党积极分子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和发展对象培养教育考察登记表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》“支委会意见”栏中签署意见，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报上级党委备案，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择优确定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发展对象。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（一）入党积极分子确定为发展对象应具备以下基本条件：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有一定的政治觉悟，思想进步、作风正派、团结同志；在学习和社会实践等方面表现积极，经常向党组织汇报思想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入党积极分子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培养教育考察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满一年；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参加过党校培训并结业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前一学年素质评价基本项排名（或前一学期文化课加权平均成绩排名），一、二年级列班级或专业前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0%以内（含），三、四年级列班级或专业前50%以内（含）。其中，文化课成绩不含任意选修课，体育成绩必须合格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前一学期无重修课程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当年度学生干部考核等级为优秀的入党积极分子（考核等级以校团委发文为准），素质评价基本项或文化课成绩排名可放宽10%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在上批次推优至本批次推优期间未受到学院或学校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通报批评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及以上处分；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季度主动向党组织提交书面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思想汇报不少于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（二）入党积极分子除符合上述基本条件外，如符合以下条件之一者，给予优先推荐：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担任过新生班主任助理，且考核合格；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所在寝室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或个人在每年度的文明寝室建设中受学院或学校表彰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获省部级（含）以上学科竞赛三等奖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以上（挑战杯、节能减排大赛等），排名前三；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以第一作者发表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论文或发明实用新型专利；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省级或国家级创新项目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获立项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，排名前三；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省部级（含）以上各类文艺竞赛或汇演三等奖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以上，主要成员；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英语六级超过520分或托福达90分（含）、雅思6.5分（含）以上；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其他未列获奖、科研等成果是否符合优先推荐条件，报学院党委讨论决定。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第四章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预备党员的接收、教育、考察和转正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支部委员会应当对发展对象进行严格审查，经集体讨论认为合格并经公示后，报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党委预审。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凡是未经政治审查或政治审查不合格的，不能发展入党。未经培训的，除个别特殊情况外，不能发展入党。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发展对象未来三个月内将离开学校的，一般不办理接收预备党员的手续。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接收预备党员应当严格按照党章规定的程序办理。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预备党员必须面向党旗进行宣誓仪式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备党员的预备期为一年。预备期从支部大会通过其为预备党员之日算起。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第十三条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预备期内，预备党员应自觉履行党员义务，加强理论学习，提升党性修养，积极发挥党员先锋模范作用；无重修记录、无通报批评记录，有志愿服务记录，有新增获奖记录；每季度向党组织提交书面思想汇报不少于1篇；预备期满，提前一周向党组织提出书面转正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预备党员预备期满，党支部应当及时讨论其能否转为正式党员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认真履行党员义务、具备党员条件的，应当按期转为正式党员；需要继续考察和教育的，可以延长一次预备期，延长时间不能少于半年，最长不超过一年；不履行党员义务、不具备党员条件的，应当取消其预备党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第十五条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预备党员转正必须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严格按照上级党委规定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第五章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党员的管理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党员缺乏革命意志，不履行党员义务，不符合党员条件，党支部应当对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进行教育，要求他限期改正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。教育效果不明显的，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安排专人对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进行“勤勉谈话”，由当事人提出整改计划，党员在支部内做自我批评，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所有程序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形成书面材料存档。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党员如果没有正当理由，连续六个月不参加党的组织生活，或不交纳党费，或不做党所分配的工作，就被认为是自行脱党。支部大会应当决定把这样的党员除名，并报上级党组织批准。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第六章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发展党员的纪律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发展党员必须严格按照《党章》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、学校党委党员发展实施细则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发展条例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规定的程序，不得违反规定进行操作。所有发展对象和参与发展工作的党员都不得徇私舞弊、弄虚作假。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党组织讨论发展党员事项，必须有专人记录，与会人员除传达会议决定或转达会议意见外，不得泄露每位与会人员讨论时发表的具体意见。对于反映意见的党员和群众，必须予以保密，严禁打击报复。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第二十条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对不坚持标准、不履行程序、培养考察失职的党组织及其负责人、直接责任人应当进行批评教育，情节严重的给予纪律处分。对采取弄虚作假或其他手段把不符合党员条件的人发展为党员的，应当依纪依法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第七章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 xml:space="preserve"> 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第二十一条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第二十二条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自公布之日起施行，原《环境科学与工程学院学生党员组织发展条例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环境党〔2014〕13号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》同时废止。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40" w:lineRule="exact"/>
        <w:ind w:firstLine="105" w:firstLineChars="50"/>
        <w:rPr>
          <w:rFonts w:hint="eastAsia" w:ascii="宋体" w:eastAsia="仿宋_GB2312"/>
          <w:color w:val="000000"/>
          <w:spacing w:val="15"/>
          <w:w w:val="90"/>
          <w:sz w:val="28"/>
          <w:szCs w:val="28"/>
          <w:shd w:val="clear" w:color="auto" w:fill="FFFFFF"/>
          <w:lang w:eastAsia="zh-CN"/>
        </w:rPr>
      </w:pPr>
      <w:r>
        <w:pict>
          <v:line id="_x0000_s1027" o:spid="_x0000_s1027" o:spt="20" style="position:absolute;left:0pt;margin-left:0pt;margin-top:34.2pt;height:0pt;width:446.25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8" o:spid="_x0000_s1028" o:spt="20" style="position:absolute;left:0pt;margin-left:0pt;margin-top:3pt;height:0pt;width:446.25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w w:val="80"/>
          <w:sz w:val="32"/>
          <w:szCs w:val="32"/>
        </w:rPr>
        <w:t>中共浙江工商大学环境科学与工程学院委员会</w:t>
      </w:r>
      <w:r>
        <w:rPr>
          <w:rFonts w:ascii="仿宋_GB2312" w:eastAsia="仿宋_GB2312"/>
          <w:w w:val="90"/>
          <w:sz w:val="32"/>
          <w:szCs w:val="32"/>
        </w:rPr>
        <w:t xml:space="preserve">      201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w w:val="90"/>
          <w:sz w:val="32"/>
          <w:szCs w:val="32"/>
        </w:rPr>
        <w:t>年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w w:val="90"/>
          <w:sz w:val="32"/>
          <w:szCs w:val="32"/>
        </w:rPr>
        <w:t>月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18</w:t>
      </w:r>
      <w:bookmarkStart w:id="1" w:name="_GoBack"/>
      <w:bookmarkEnd w:id="1"/>
      <w:r>
        <w:rPr>
          <w:rFonts w:hint="eastAsia" w:ascii="仿宋_GB2312" w:eastAsia="仿宋_GB2312"/>
          <w:w w:val="90"/>
          <w:sz w:val="32"/>
          <w:szCs w:val="32"/>
        </w:rPr>
        <w:t>日</w:t>
      </w:r>
      <w:r>
        <w:rPr>
          <w:rFonts w:hint="eastAsia" w:ascii="仿宋_GB2312" w:eastAsia="仿宋_GB2312"/>
          <w:w w:val="90"/>
          <w:sz w:val="32"/>
          <w:szCs w:val="32"/>
          <w:lang w:eastAsia="zh-CN"/>
        </w:rPr>
        <w:t>印发</w:t>
      </w:r>
    </w:p>
    <w:sectPr>
      <w:footerReference r:id="rId3" w:type="default"/>
      <w:footerReference r:id="rId4" w:type="even"/>
      <w:pgSz w:w="11906" w:h="16838"/>
      <w:pgMar w:top="2211" w:right="1531" w:bottom="1985" w:left="153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  <w:sz w:val="28"/>
      </w:rPr>
    </w:pPr>
    <w:r>
      <w:rPr>
        <w:rStyle w:val="5"/>
        <w:sz w:val="28"/>
      </w:rPr>
      <w:t xml:space="preserve">—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13</w:t>
    </w:r>
    <w:r>
      <w:rPr>
        <w:rStyle w:val="5"/>
        <w:sz w:val="28"/>
      </w:rPr>
      <w:fldChar w:fldCharType="end"/>
    </w:r>
    <w:r>
      <w:rPr>
        <w:rStyle w:val="5"/>
        <w:sz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AA6"/>
    <w:rsid w:val="000F1212"/>
    <w:rsid w:val="001132FE"/>
    <w:rsid w:val="001751C5"/>
    <w:rsid w:val="001A73E8"/>
    <w:rsid w:val="001C33F7"/>
    <w:rsid w:val="001C5838"/>
    <w:rsid w:val="001F3110"/>
    <w:rsid w:val="00255A2D"/>
    <w:rsid w:val="00283E04"/>
    <w:rsid w:val="0028506A"/>
    <w:rsid w:val="002E0B07"/>
    <w:rsid w:val="002F6BBC"/>
    <w:rsid w:val="003C572C"/>
    <w:rsid w:val="003D2DE4"/>
    <w:rsid w:val="003D4B93"/>
    <w:rsid w:val="003D6465"/>
    <w:rsid w:val="003E527A"/>
    <w:rsid w:val="004448CC"/>
    <w:rsid w:val="00480652"/>
    <w:rsid w:val="004B6F9B"/>
    <w:rsid w:val="004B77CB"/>
    <w:rsid w:val="004D0A9F"/>
    <w:rsid w:val="00500A0B"/>
    <w:rsid w:val="005171E1"/>
    <w:rsid w:val="00525CB7"/>
    <w:rsid w:val="00553F77"/>
    <w:rsid w:val="006C1504"/>
    <w:rsid w:val="00700B37"/>
    <w:rsid w:val="00763B2D"/>
    <w:rsid w:val="00776AA6"/>
    <w:rsid w:val="007C2E55"/>
    <w:rsid w:val="0080121C"/>
    <w:rsid w:val="00887F66"/>
    <w:rsid w:val="00940670"/>
    <w:rsid w:val="00955038"/>
    <w:rsid w:val="009D4B23"/>
    <w:rsid w:val="00AA3559"/>
    <w:rsid w:val="00AD7E46"/>
    <w:rsid w:val="00C06649"/>
    <w:rsid w:val="00C334CF"/>
    <w:rsid w:val="00C5407E"/>
    <w:rsid w:val="00CC2657"/>
    <w:rsid w:val="00D56019"/>
    <w:rsid w:val="00DE2B36"/>
    <w:rsid w:val="00DF6B21"/>
    <w:rsid w:val="00EC4BBB"/>
    <w:rsid w:val="00F017CF"/>
    <w:rsid w:val="00F313C4"/>
    <w:rsid w:val="00F9650E"/>
    <w:rsid w:val="00FA48E6"/>
    <w:rsid w:val="00FC57B6"/>
    <w:rsid w:val="00FF23F9"/>
    <w:rsid w:val="035B3A67"/>
    <w:rsid w:val="07CE5392"/>
    <w:rsid w:val="1018639E"/>
    <w:rsid w:val="180E5C9E"/>
    <w:rsid w:val="1C981E08"/>
    <w:rsid w:val="26A6324C"/>
    <w:rsid w:val="29F73408"/>
    <w:rsid w:val="43DA7F2A"/>
    <w:rsid w:val="4540315A"/>
    <w:rsid w:val="49F74DBC"/>
    <w:rsid w:val="52E24D8A"/>
    <w:rsid w:val="52FF3B7B"/>
    <w:rsid w:val="57163CC1"/>
    <w:rsid w:val="572464F4"/>
    <w:rsid w:val="5B55069B"/>
    <w:rsid w:val="669B38D9"/>
    <w:rsid w:val="70036AED"/>
    <w:rsid w:val="709361D6"/>
    <w:rsid w:val="747C398B"/>
    <w:rsid w:val="77C3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styleId="6">
    <w:name w:val="Emphasis"/>
    <w:basedOn w:val="4"/>
    <w:qFormat/>
    <w:locked/>
    <w:uiPriority w:val="99"/>
    <w:rPr>
      <w:rFonts w:cs="Times New Roman"/>
      <w:color w:val="CC0000"/>
    </w:rPr>
  </w:style>
  <w:style w:type="character" w:styleId="7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1\&#25991;&#20214;\&#38498;&#25991;&#20214;&#26684;&#2433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院文件格式</Template>
  <Company>zjtie</Company>
  <Pages>13</Pages>
  <Words>685</Words>
  <Characters>3909</Characters>
  <Lines>0</Lines>
  <Paragraphs>0</Paragraphs>
  <TotalTime>20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2014-10-29T07:51:00Z</dcterms:created>
  <dc:creator>zjy</dc:creator>
  <cp:lastModifiedBy>ZJGS-050</cp:lastModifiedBy>
  <cp:lastPrinted>2019-03-07T01:38:00Z</cp:lastPrinted>
  <dcterms:modified xsi:type="dcterms:W3CDTF">2019-03-18T02:54:06Z</dcterms:modified>
  <dc:title>浙经院〔2004〕83号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