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rPr>
      </w:pPr>
      <w:r>
        <w:pict>
          <v:shape id="_x0000_i1025" o:spt="136" type="#_x0000_t136" style="height:76.5pt;width:435.75pt;" fillcolor="#FF0000" filled="t" strok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bookmarkStart w:id="0" w:name="文号"/>
    </w:p>
    <w:p>
      <w:pPr>
        <w:jc w:val="center"/>
        <w:rPr>
          <w:rFonts w:hint="eastAsia" w:ascii="仿宋_GB2312" w:eastAsia="仿宋_GB2312"/>
          <w:sz w:val="32"/>
        </w:rPr>
      </w:pPr>
    </w:p>
    <w:p>
      <w:pPr>
        <w:jc w:val="center"/>
        <w:rPr>
          <w:rFonts w:hint="eastAsia" w:ascii="仿宋_GB2312" w:eastAsia="仿宋_GB2312"/>
          <w:sz w:val="32"/>
        </w:rPr>
      </w:pPr>
      <w:r>
        <w:rPr>
          <w:rFonts w:hint="eastAsia" w:ascii="仿宋_GB2312" w:eastAsia="仿宋_GB2312"/>
          <w:sz w:val="32"/>
        </w:rPr>
        <w:t>环境党〔201</w:t>
      </w: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sz w:val="32"/>
          <w:lang w:val="en-US" w:eastAsia="zh-CN"/>
        </w:rPr>
        <w:t>4</w:t>
      </w:r>
      <w:r>
        <w:rPr>
          <w:rFonts w:hint="eastAsia" w:ascii="仿宋_GB2312" w:eastAsia="仿宋_GB2312"/>
          <w:sz w:val="32"/>
        </w:rPr>
        <w:t>号</w:t>
      </w:r>
      <w:bookmarkEnd w:id="0"/>
    </w:p>
    <w:p>
      <w:pPr>
        <w:jc w:val="both"/>
        <w:rPr>
          <w:rFonts w:hint="eastAsia" w:ascii="方正小标宋简体" w:eastAsia="方正小标宋简体" w:cs="FZXBSJW--GB1-0"/>
          <w:kern w:val="0"/>
          <w:sz w:val="44"/>
          <w:szCs w:val="44"/>
        </w:rPr>
      </w:pPr>
      <w:r>
        <w:rPr>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125095</wp:posOffset>
                </wp:positionV>
                <wp:extent cx="5438775" cy="635"/>
                <wp:effectExtent l="0" t="0" r="0" b="0"/>
                <wp:wrapNone/>
                <wp:docPr id="2" name="直线 3"/>
                <wp:cNvGraphicFramePr/>
                <a:graphic xmlns:a="http://schemas.openxmlformats.org/drawingml/2006/main">
                  <a:graphicData uri="http://schemas.microsoft.com/office/word/2010/wordprocessingShape">
                    <wps:wsp>
                      <wps:cNvCnPr/>
                      <wps:spPr>
                        <a:xfrm>
                          <a:off x="0" y="0"/>
                          <a:ext cx="543877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45pt;margin-top:9.85pt;height:0.05pt;width:428.25pt;z-index:251658240;mso-width-relative:page;mso-height-relative:page;" filled="f" stroked="t" coordsize="21600,21600" o:gfxdata="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ih1vNgAAAAIAQAADwAAAAAAAAAB&#10;ACAAAAAiAAAAZHJzL2Rvd25yZXYueG1sUEsBAhQAFAAAAAgAh07iQLsMTzPXAQAAngMAAA4AAAAA&#10;AAAAAQAgAAAAJwEAAGRycy9lMm9Eb2MueG1sUEsFBgAAAAAGAAYAWQEAAHA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0" w:firstLineChars="0"/>
        <w:jc w:val="center"/>
        <w:textAlignment w:val="auto"/>
        <w:outlineLvl w:val="9"/>
        <w:rPr>
          <w:rFonts w:hint="eastAsia" w:ascii="方正小标宋简体" w:eastAsia="方正小标宋简体" w:cs="FZXBSJW--GB1-0"/>
          <w:kern w:val="0"/>
          <w:sz w:val="44"/>
          <w:szCs w:val="44"/>
        </w:rPr>
      </w:pPr>
      <w:r>
        <w:rPr>
          <w:rFonts w:hint="eastAsia" w:ascii="方正小标宋简体" w:eastAsia="方正小标宋简体" w:cs="FZXBSJW--GB1-0"/>
          <w:kern w:val="0"/>
          <w:sz w:val="44"/>
          <w:szCs w:val="44"/>
        </w:rPr>
        <w:t>中共</w:t>
      </w:r>
      <w:r>
        <w:rPr>
          <w:rFonts w:hint="eastAsia" w:ascii="方正小标宋简体" w:eastAsia="方正小标宋简体" w:cs="FZXBSJW--GB1-0"/>
          <w:kern w:val="0"/>
          <w:sz w:val="44"/>
          <w:szCs w:val="44"/>
          <w:lang w:eastAsia="zh-CN"/>
        </w:rPr>
        <w:t>环境科学与工程学院</w:t>
      </w:r>
      <w:r>
        <w:rPr>
          <w:rFonts w:hint="eastAsia" w:ascii="方正小标宋简体" w:eastAsia="方正小标宋简体" w:cs="FZXBSJW--GB1-0"/>
          <w:kern w:val="0"/>
          <w:sz w:val="44"/>
          <w:szCs w:val="44"/>
        </w:rPr>
        <w:t>委员会</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0" w:firstLineChars="0"/>
        <w:jc w:val="center"/>
        <w:textAlignment w:val="auto"/>
        <w:outlineLvl w:val="9"/>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关于理论学习中心组2017/2018学年</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0" w:firstLineChars="0"/>
        <w:jc w:val="center"/>
        <w:textAlignment w:val="auto"/>
        <w:outlineLvl w:val="9"/>
        <w:rPr>
          <w:rFonts w:hint="eastAsia" w:ascii="方正小标宋简体" w:eastAsia="方正小标宋简体" w:cs="FZXBSJW--GB1-0"/>
          <w:kern w:val="0"/>
          <w:sz w:val="32"/>
          <w:szCs w:val="32"/>
          <w:lang w:eastAsia="zh-CN"/>
        </w:rPr>
      </w:pPr>
      <w:r>
        <w:rPr>
          <w:rFonts w:hint="eastAsia" w:ascii="方正小标宋简体" w:eastAsia="方正小标宋简体" w:cs="FZXBSJW--GB1-0"/>
          <w:kern w:val="0"/>
          <w:sz w:val="44"/>
          <w:szCs w:val="44"/>
        </w:rPr>
        <w:t>第二学期理论学习安排的</w:t>
      </w:r>
      <w:r>
        <w:rPr>
          <w:rFonts w:hint="eastAsia" w:ascii="方正小标宋简体" w:eastAsia="方正小标宋简体" w:cs="FZXBSJW--GB1-0"/>
          <w:kern w:val="0"/>
          <w:sz w:val="44"/>
          <w:szCs w:val="44"/>
          <w:lang w:eastAsia="zh-CN"/>
        </w:rPr>
        <w:t>通知</w:t>
      </w:r>
    </w:p>
    <w:p>
      <w:pPr>
        <w:autoSpaceDE w:val="0"/>
        <w:autoSpaceDN w:val="0"/>
        <w:adjustRightInd w:val="0"/>
        <w:snapToGrid w:val="0"/>
        <w:spacing w:line="560" w:lineRule="exact"/>
        <w:jc w:val="left"/>
        <w:rPr>
          <w:rFonts w:ascii="仿宋_GB2312" w:hAnsi="宋体" w:eastAsia="仿宋_GB2312"/>
          <w:kern w:val="0"/>
          <w:sz w:val="32"/>
          <w:szCs w:val="32"/>
        </w:rPr>
      </w:pPr>
    </w:p>
    <w:p>
      <w:pPr>
        <w:autoSpaceDE w:val="0"/>
        <w:autoSpaceDN w:val="0"/>
        <w:adjustRightInd w:val="0"/>
        <w:snapToGrid w:val="0"/>
        <w:spacing w:line="560" w:lineRule="exact"/>
        <w:jc w:val="both"/>
        <w:rPr>
          <w:rFonts w:ascii="仿宋_GB2312" w:hAnsi="宋体" w:eastAsia="仿宋_GB2312"/>
          <w:kern w:val="0"/>
          <w:sz w:val="32"/>
          <w:szCs w:val="32"/>
        </w:rPr>
      </w:pPr>
      <w:r>
        <w:rPr>
          <w:rFonts w:hint="eastAsia" w:ascii="仿宋_GB2312" w:hAnsi="宋体" w:eastAsia="仿宋_GB2312"/>
          <w:kern w:val="0"/>
          <w:sz w:val="32"/>
          <w:szCs w:val="32"/>
        </w:rPr>
        <w:t>各</w:t>
      </w:r>
      <w:r>
        <w:rPr>
          <w:rFonts w:hint="eastAsia" w:ascii="仿宋_GB2312" w:hAnsi="宋体" w:eastAsia="仿宋_GB2312"/>
          <w:kern w:val="0"/>
          <w:sz w:val="32"/>
          <w:szCs w:val="32"/>
          <w:lang w:eastAsia="zh-CN"/>
        </w:rPr>
        <w:t>党支部</w:t>
      </w:r>
      <w:r>
        <w:rPr>
          <w:rFonts w:hint="eastAsia" w:ascii="仿宋_GB2312" w:hAnsi="宋体" w:eastAsia="仿宋_GB2312"/>
          <w:kern w:val="0"/>
          <w:sz w:val="32"/>
          <w:szCs w:val="32"/>
        </w:rPr>
        <w:t>：</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根据</w:t>
      </w:r>
      <w:r>
        <w:rPr>
          <w:rFonts w:hint="eastAsia" w:ascii="仿宋_GB2312" w:hAnsi="宋体" w:eastAsia="仿宋_GB2312"/>
          <w:kern w:val="0"/>
          <w:sz w:val="32"/>
          <w:szCs w:val="32"/>
          <w:lang w:eastAsia="zh-CN"/>
        </w:rPr>
        <w:t>上级党委和校党委</w:t>
      </w:r>
      <w:r>
        <w:rPr>
          <w:rFonts w:hint="eastAsia" w:ascii="仿宋_GB2312" w:hAnsi="宋体" w:eastAsia="仿宋_GB2312"/>
          <w:kern w:val="0"/>
          <w:sz w:val="32"/>
          <w:szCs w:val="32"/>
        </w:rPr>
        <w:t>有关文件精神，结合</w:t>
      </w:r>
      <w:r>
        <w:rPr>
          <w:rFonts w:hint="eastAsia" w:ascii="仿宋_GB2312" w:hAnsi="宋体" w:eastAsia="仿宋_GB2312"/>
          <w:kern w:val="0"/>
          <w:sz w:val="32"/>
          <w:szCs w:val="32"/>
          <w:lang w:eastAsia="zh-CN"/>
        </w:rPr>
        <w:t>学院</w:t>
      </w:r>
      <w:r>
        <w:rPr>
          <w:rFonts w:hint="eastAsia" w:ascii="仿宋_GB2312" w:hAnsi="宋体" w:eastAsia="仿宋_GB2312"/>
          <w:kern w:val="0"/>
          <w:sz w:val="32"/>
          <w:szCs w:val="32"/>
        </w:rPr>
        <w:t>实际情况，现就2017/2018学年第二学期</w:t>
      </w:r>
      <w:r>
        <w:rPr>
          <w:rFonts w:hint="eastAsia" w:ascii="仿宋_GB2312" w:hAnsi="宋体" w:eastAsia="仿宋_GB2312"/>
          <w:kern w:val="0"/>
          <w:sz w:val="32"/>
          <w:szCs w:val="32"/>
          <w:lang w:eastAsia="zh-CN"/>
        </w:rPr>
        <w:t>学院</w:t>
      </w:r>
      <w:r>
        <w:rPr>
          <w:rFonts w:hint="eastAsia" w:ascii="仿宋_GB2312" w:hAnsi="宋体" w:eastAsia="仿宋_GB2312"/>
          <w:kern w:val="0"/>
          <w:sz w:val="32"/>
          <w:szCs w:val="32"/>
        </w:rPr>
        <w:t>中心组理论学习安排</w:t>
      </w:r>
      <w:r>
        <w:rPr>
          <w:rFonts w:hint="eastAsia" w:ascii="仿宋_GB2312" w:hAnsi="宋体" w:eastAsia="仿宋_GB2312"/>
          <w:kern w:val="0"/>
          <w:sz w:val="32"/>
          <w:szCs w:val="32"/>
          <w:lang w:eastAsia="zh-CN"/>
        </w:rPr>
        <w:t>通知如下</w:t>
      </w:r>
      <w:r>
        <w:rPr>
          <w:rFonts w:hint="eastAsia" w:ascii="仿宋_GB2312" w:hAnsi="宋体" w:eastAsia="仿宋_GB2312"/>
          <w:kern w:val="0"/>
          <w:sz w:val="32"/>
          <w:szCs w:val="32"/>
        </w:rPr>
        <w:t>：</w:t>
      </w:r>
    </w:p>
    <w:p>
      <w:pPr>
        <w:autoSpaceDE w:val="0"/>
        <w:autoSpaceDN w:val="0"/>
        <w:adjustRightInd w:val="0"/>
        <w:snapToGrid w:val="0"/>
        <w:spacing w:line="560" w:lineRule="exact"/>
        <w:ind w:firstLine="643" w:firstLineChars="200"/>
        <w:jc w:val="both"/>
        <w:rPr>
          <w:rFonts w:ascii="仿宋_GB2312" w:hAnsi="宋体" w:eastAsia="仿宋_GB2312"/>
          <w:b/>
          <w:bCs/>
          <w:kern w:val="0"/>
          <w:sz w:val="32"/>
          <w:szCs w:val="32"/>
        </w:rPr>
      </w:pPr>
      <w:r>
        <w:rPr>
          <w:rFonts w:hint="eastAsia" w:ascii="仿宋_GB2312" w:hAnsi="宋体" w:eastAsia="仿宋_GB2312"/>
          <w:b/>
          <w:bCs/>
          <w:kern w:val="0"/>
          <w:sz w:val="32"/>
          <w:szCs w:val="32"/>
        </w:rPr>
        <w:t>一、指导思想</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高举中国特色社会主义伟大旗帜，深入学习宣传贯彻党的十九大、省第十四次党代会精神，精心组织理论中心组学习，着力推动习近平新时代中国特色社会主义思想深入人心，把学习的过程作为增强“四个意识”、坚定“四个自信”的过程，牢固树立“创新、协调、绿色、开放、共享”发展理念，大力加强思想理论建设，按照“两学一做”学习教育常态化制度化要求，结合“不忘初心、牢记使命”主题教育，全面落实学校“十三五”发展规划，深化综合改革，创新体制机制，推进省重点高校建设，推进一流学科和一流专业建设，提高人才培养质量，努力建设国内同类一流、国际知名的高水平大学。</w:t>
      </w:r>
    </w:p>
    <w:p>
      <w:pPr>
        <w:snapToGrid w:val="0"/>
        <w:spacing w:line="560" w:lineRule="exact"/>
        <w:ind w:firstLine="643" w:firstLineChars="200"/>
        <w:jc w:val="both"/>
        <w:rPr>
          <w:rFonts w:ascii="仿宋_GB2312" w:hAnsi="宋体" w:eastAsia="仿宋_GB2312"/>
          <w:b/>
          <w:bCs/>
          <w:kern w:val="0"/>
          <w:sz w:val="32"/>
          <w:szCs w:val="32"/>
        </w:rPr>
      </w:pPr>
      <w:r>
        <w:rPr>
          <w:rFonts w:hint="eastAsia" w:ascii="仿宋_GB2312" w:hAnsi="宋体" w:eastAsia="仿宋_GB2312"/>
          <w:b/>
          <w:bCs/>
          <w:kern w:val="0"/>
          <w:sz w:val="32"/>
          <w:szCs w:val="32"/>
        </w:rPr>
        <w:t>二、学习内容与讨论专题</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主要学习内容：党的十九大精神、省十四次党代会精神，习近平总书记在省部级主要领导干部专题研讨班开班式上、全国高校思想政治工作会议上的重要讲话精神，“两学一做”学习教育的有关规定和要求，《十九大报告》《习近平谈治国理政》《习近平关于党风廉政建设和反腐败斗争论述摘编》《习近平关于严明党的纪律和规矩论述摘编》《之江新语》《中国共产党的九十年》，以及《中共中央、国务院关于加强和改进新形势下高校思想政治工作的意见》《国务院关于印发统筹推进世界一流大学和一流学科建设总体方案的通知》《中共中央关于加快构建中国特色哲学社会科学的意见》和《中国共产党党章》《中国共产党廉洁自律准则》《中国共产党纪律处分条例》《中国共产党问责条例》《高等学校深化落实中央八项规定精神的若干规定》等；开设“党的十九大精神和习近平新时代中国特色社会主义思想”、“纪念改革开放四十周年”、“省第十四次党代会全面实施高等教育强省战略”、“不忘初心</w:t>
      </w:r>
      <w:r>
        <w:rPr>
          <w:rFonts w:hint="eastAsia" w:ascii="仿宋_GB2312" w:hAnsi="宋体" w:eastAsia="仿宋_GB2312" w:cs="宋体"/>
          <w:kern w:val="0"/>
          <w:sz w:val="32"/>
          <w:szCs w:val="32"/>
        </w:rPr>
        <w:t>，牢记使命，坚定不移全面从严治党”</w:t>
      </w:r>
      <w:r>
        <w:rPr>
          <w:rFonts w:hint="eastAsia" w:ascii="仿宋_GB2312" w:hAnsi="宋体" w:eastAsia="仿宋_GB2312"/>
          <w:kern w:val="0"/>
          <w:sz w:val="32"/>
          <w:szCs w:val="32"/>
        </w:rPr>
        <w:t>等四个方面研讨专题。</w:t>
      </w:r>
    </w:p>
    <w:p>
      <w:pPr>
        <w:spacing w:line="560" w:lineRule="exact"/>
        <w:ind w:firstLine="643" w:firstLineChars="200"/>
        <w:jc w:val="both"/>
        <w:rPr>
          <w:rFonts w:ascii="仿宋_GB2312" w:eastAsia="仿宋_GB2312"/>
          <w:b/>
          <w:bCs/>
          <w:sz w:val="32"/>
          <w:szCs w:val="32"/>
        </w:rPr>
      </w:pPr>
      <w:r>
        <w:rPr>
          <w:rFonts w:hint="eastAsia" w:ascii="仿宋_GB2312" w:hAnsi="宋体" w:eastAsia="仿宋_GB2312" w:cs="仿宋_GB2312"/>
          <w:b/>
          <w:kern w:val="0"/>
          <w:sz w:val="32"/>
          <w:szCs w:val="32"/>
        </w:rPr>
        <w:t>专题一：深入学习贯彻落实党的十九大精神和习近平新时代中国特色社会主义思想，学习传达全国“两会”精神，扎扎实实办好人民满意的高等教育</w:t>
      </w:r>
    </w:p>
    <w:p>
      <w:pPr>
        <w:spacing w:line="560" w:lineRule="exact"/>
        <w:jc w:val="both"/>
        <w:rPr>
          <w:sz w:val="32"/>
          <w:szCs w:val="32"/>
        </w:rPr>
      </w:pPr>
      <w:r>
        <w:rPr>
          <w:rFonts w:hint="eastAsia" w:ascii="仿宋_GB2312" w:hAnsi="宋体" w:eastAsia="仿宋_GB2312"/>
          <w:kern w:val="0"/>
          <w:sz w:val="32"/>
          <w:szCs w:val="32"/>
        </w:rPr>
        <w:t xml:space="preserve">    习近平新时代中国特色社会主义思想，从理论和实践结合上系统回答了新时代坚持和发展什么样的中国特色社会主义、怎样坚持和发展中国特色社会主义这个重大时代课题，以全新的视野深化对共产党执政规律、社会主义建设规律、人类社会发展规律的认识，为发展马克思主义作出了原创性贡献，为实现中华民族伟大复兴提供了行动指南，为推动构建人类命运共同体贡献了中国智慧和中国方案，在马克思主义发展史上、中华民族复兴史上、世界社会主义运动史上、人类文明进步史上都具有重要而深远的影响。全国两会是贯彻习近平新时代中国特色社会主义思想和党的十九大精神的一次重要会议，会议审议通过宪法修正案、监察法、中国人民政治协商会议章程（修正案），审议批准国务院机构改革方案，是全面深化改革的里程碑，为党和国家的机构改革确定了方法论。抓住了深化改革顶层设计的又一个关键问题——党和国家机构改革，这是国家治理体系和治理能力的核心问题。学习传达全国“两会”精神，要深刻认识深化党和国家机构改革，深入了解国家经济社会需求和未来发展趋势，围绕学校育人工作中心，加强协同创新，不断提高</w:t>
      </w:r>
      <w:r>
        <w:rPr>
          <w:rFonts w:hint="eastAsia" w:ascii="仿宋_GB2312" w:hAnsi="宋体" w:eastAsia="仿宋_GB2312"/>
          <w:kern w:val="0"/>
          <w:sz w:val="32"/>
          <w:szCs w:val="32"/>
          <w:lang w:eastAsia="zh-CN"/>
        </w:rPr>
        <w:t>学院</w:t>
      </w:r>
      <w:r>
        <w:rPr>
          <w:rFonts w:hint="eastAsia" w:ascii="仿宋_GB2312" w:hAnsi="宋体" w:eastAsia="仿宋_GB2312"/>
          <w:kern w:val="0"/>
          <w:sz w:val="32"/>
          <w:szCs w:val="32"/>
        </w:rPr>
        <w:t>教学、科研、管理、服务等各项工作的水平，努力办好人民满意的高等教育。</w:t>
      </w:r>
    </w:p>
    <w:p>
      <w:pPr>
        <w:spacing w:line="560" w:lineRule="exact"/>
        <w:ind w:firstLine="643" w:firstLineChars="200"/>
        <w:jc w:val="both"/>
        <w:rPr>
          <w:rFonts w:ascii="仿宋_GB2312" w:hAnsi="宋体" w:eastAsia="仿宋_GB2312" w:cs="仿宋_GB2312"/>
          <w:bCs/>
          <w:kern w:val="0"/>
          <w:sz w:val="32"/>
          <w:szCs w:val="32"/>
        </w:rPr>
      </w:pPr>
      <w:r>
        <w:rPr>
          <w:rFonts w:hint="eastAsia" w:ascii="仿宋_GB2312" w:hAnsi="宋体" w:eastAsia="仿宋_GB2312" w:cs="仿宋_GB2312"/>
          <w:b/>
          <w:kern w:val="0"/>
          <w:sz w:val="32"/>
          <w:szCs w:val="32"/>
          <w:lang w:eastAsia="zh-CN"/>
        </w:rPr>
        <w:t>院</w:t>
      </w:r>
      <w:r>
        <w:rPr>
          <w:rFonts w:hint="eastAsia" w:ascii="仿宋_GB2312" w:hAnsi="宋体" w:eastAsia="仿宋_GB2312" w:cs="仿宋_GB2312"/>
          <w:b/>
          <w:kern w:val="0"/>
          <w:sz w:val="32"/>
          <w:szCs w:val="32"/>
        </w:rPr>
        <w:t>党委理论中心组学习发言安排：</w:t>
      </w:r>
      <w:r>
        <w:rPr>
          <w:rFonts w:hint="eastAsia" w:ascii="仿宋_GB2312" w:hAnsi="宋体" w:eastAsia="仿宋_GB2312" w:cs="仿宋_GB2312"/>
          <w:bCs/>
          <w:kern w:val="0"/>
          <w:sz w:val="32"/>
          <w:szCs w:val="32"/>
          <w:lang w:eastAsia="zh-CN"/>
        </w:rPr>
        <w:t>郑苏法、韩竞一</w:t>
      </w:r>
    </w:p>
    <w:p>
      <w:pPr>
        <w:spacing w:line="560" w:lineRule="exact"/>
        <w:ind w:firstLine="643" w:firstLineChars="200"/>
        <w:jc w:val="both"/>
        <w:rPr>
          <w:rFonts w:ascii="仿宋_GB2312" w:hAnsi="宋体" w:eastAsia="仿宋_GB2312" w:cs="仿宋_GB2312"/>
          <w:b/>
          <w:kern w:val="0"/>
          <w:sz w:val="32"/>
          <w:szCs w:val="32"/>
        </w:rPr>
      </w:pPr>
      <w:r>
        <w:rPr>
          <w:rFonts w:hint="eastAsia" w:ascii="仿宋_GB2312" w:hAnsi="宋体" w:eastAsia="仿宋_GB2312" w:cs="仿宋_GB2312"/>
          <w:b/>
          <w:kern w:val="0"/>
          <w:sz w:val="32"/>
          <w:szCs w:val="32"/>
        </w:rPr>
        <w:t>专题二：纪念改革开放40周年，以改革开放再出发的勇气，进一步解放思想，</w:t>
      </w:r>
      <w:r>
        <w:rPr>
          <w:rFonts w:hint="eastAsia" w:ascii="仿宋_GB2312" w:hAnsi="宋体" w:eastAsia="仿宋_GB2312" w:cs="仿宋_GB2312"/>
          <w:b/>
          <w:kern w:val="0"/>
          <w:sz w:val="32"/>
          <w:szCs w:val="32"/>
          <w:lang w:eastAsia="zh-CN"/>
        </w:rPr>
        <w:t>助力学校积极</w:t>
      </w:r>
      <w:r>
        <w:rPr>
          <w:rFonts w:hint="eastAsia" w:ascii="仿宋_GB2312" w:hAnsi="宋体" w:eastAsia="仿宋_GB2312" w:cs="仿宋_GB2312"/>
          <w:b/>
          <w:kern w:val="0"/>
          <w:sz w:val="32"/>
          <w:szCs w:val="32"/>
        </w:rPr>
        <w:t>推进新一轮改革，</w:t>
      </w:r>
      <w:r>
        <w:rPr>
          <w:rFonts w:hint="eastAsia" w:ascii="仿宋_GB2312" w:hAnsi="宋体" w:eastAsia="仿宋_GB2312" w:cs="仿宋_GB2312"/>
          <w:b/>
          <w:kern w:val="0"/>
          <w:sz w:val="32"/>
          <w:szCs w:val="32"/>
          <w:lang w:eastAsia="zh-CN"/>
        </w:rPr>
        <w:t>助力学校</w:t>
      </w:r>
      <w:r>
        <w:rPr>
          <w:rFonts w:hint="eastAsia" w:ascii="仿宋_GB2312" w:hAnsi="宋体" w:eastAsia="仿宋_GB2312" w:cs="仿宋_GB2312"/>
          <w:b/>
          <w:kern w:val="0"/>
          <w:sz w:val="32"/>
          <w:szCs w:val="32"/>
        </w:rPr>
        <w:t>加快双一流建设，实现学校</w:t>
      </w:r>
      <w:r>
        <w:rPr>
          <w:rFonts w:hint="eastAsia" w:ascii="仿宋_GB2312" w:hAnsi="宋体" w:eastAsia="仿宋_GB2312" w:cs="仿宋_GB2312"/>
          <w:b/>
          <w:kern w:val="0"/>
          <w:sz w:val="32"/>
          <w:szCs w:val="32"/>
          <w:lang w:eastAsia="zh-CN"/>
        </w:rPr>
        <w:t>和学院</w:t>
      </w:r>
      <w:r>
        <w:rPr>
          <w:rFonts w:hint="eastAsia" w:ascii="仿宋_GB2312" w:hAnsi="宋体" w:eastAsia="仿宋_GB2312" w:cs="仿宋_GB2312"/>
          <w:b/>
          <w:kern w:val="0"/>
          <w:sz w:val="32"/>
          <w:szCs w:val="32"/>
        </w:rPr>
        <w:t>内涵式发展</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结合庆祝改革开放40周年系列活动，回顾波澜壮阔的发展历程，展现学校建设发展取得的辉煌成就，把握蹄疾步稳的全面深化改革大势，深刻认识改革开放是党在新的时代条件下带领人民进行的新的伟大革命，是决定当代中国命运的关键一招，也是实现“两个一百年”奋斗目标、实现中华民族伟大复兴的关键一招。通过系统深入学习，深入总结改革开放40周年中国特色社会主义的成功实践和经验启示；深刻认识全面深化改革的总目标、总任务，紧密结合实际，准确把握学校发展的新形势，</w:t>
      </w:r>
      <w:r>
        <w:rPr>
          <w:rFonts w:hint="eastAsia" w:ascii="仿宋_GB2312" w:hAnsi="宋体" w:eastAsia="仿宋_GB2312"/>
          <w:kern w:val="0"/>
          <w:sz w:val="32"/>
          <w:szCs w:val="32"/>
          <w:lang w:eastAsia="zh-CN"/>
        </w:rPr>
        <w:t>瞄准学校</w:t>
      </w:r>
      <w:r>
        <w:rPr>
          <w:rFonts w:hint="eastAsia" w:ascii="仿宋_GB2312" w:hAnsi="宋体" w:eastAsia="仿宋_GB2312"/>
          <w:kern w:val="0"/>
          <w:sz w:val="32"/>
          <w:szCs w:val="32"/>
        </w:rPr>
        <w:t>重点围绕学科配置再调整、聘岗方案再落实、服务方式再优化、考核办法再改进等改革方向</w:t>
      </w:r>
      <w:r>
        <w:rPr>
          <w:rFonts w:hint="eastAsia" w:ascii="仿宋_GB2312" w:hAnsi="宋体" w:eastAsia="仿宋_GB2312"/>
          <w:kern w:val="0"/>
          <w:sz w:val="32"/>
          <w:szCs w:val="32"/>
          <w:lang w:eastAsia="zh-CN"/>
        </w:rPr>
        <w:t>所积极</w:t>
      </w:r>
      <w:r>
        <w:rPr>
          <w:rFonts w:hint="eastAsia" w:ascii="仿宋_GB2312" w:hAnsi="宋体" w:eastAsia="仿宋_GB2312"/>
          <w:kern w:val="0"/>
          <w:sz w:val="32"/>
          <w:szCs w:val="32"/>
        </w:rPr>
        <w:t>推进</w:t>
      </w:r>
      <w:r>
        <w:rPr>
          <w:rFonts w:hint="eastAsia" w:ascii="仿宋_GB2312" w:hAnsi="宋体" w:eastAsia="仿宋_GB2312"/>
          <w:kern w:val="0"/>
          <w:sz w:val="32"/>
          <w:szCs w:val="32"/>
          <w:lang w:eastAsia="zh-CN"/>
        </w:rPr>
        <w:t>的</w:t>
      </w:r>
      <w:r>
        <w:rPr>
          <w:rFonts w:hint="eastAsia" w:ascii="仿宋_GB2312" w:hAnsi="宋体" w:eastAsia="仿宋_GB2312"/>
          <w:kern w:val="0"/>
          <w:sz w:val="32"/>
          <w:szCs w:val="32"/>
        </w:rPr>
        <w:t>各项改革思路举措，以立德树人和建设国际知名高水平大学为出发点，以时不我待、只争朝夕的拼搏精神，</w:t>
      </w:r>
      <w:r>
        <w:rPr>
          <w:rFonts w:hint="eastAsia" w:ascii="仿宋_GB2312" w:hAnsi="宋体" w:eastAsia="仿宋_GB2312"/>
          <w:kern w:val="0"/>
          <w:sz w:val="32"/>
          <w:szCs w:val="32"/>
          <w:lang w:eastAsia="zh-CN"/>
        </w:rPr>
        <w:t>助力学校</w:t>
      </w:r>
      <w:r>
        <w:rPr>
          <w:rFonts w:hint="eastAsia" w:ascii="仿宋_GB2312" w:hAnsi="宋体" w:eastAsia="仿宋_GB2312"/>
          <w:kern w:val="0"/>
          <w:sz w:val="32"/>
          <w:szCs w:val="32"/>
        </w:rPr>
        <w:t>积极推进新一轮改革，</w:t>
      </w:r>
      <w:r>
        <w:rPr>
          <w:rFonts w:hint="eastAsia" w:ascii="仿宋_GB2312" w:hAnsi="宋体" w:eastAsia="仿宋_GB2312"/>
          <w:kern w:val="0"/>
          <w:sz w:val="32"/>
          <w:szCs w:val="32"/>
          <w:lang w:eastAsia="zh-CN"/>
        </w:rPr>
        <w:t>助力学校</w:t>
      </w:r>
      <w:r>
        <w:rPr>
          <w:rFonts w:hint="eastAsia" w:ascii="仿宋_GB2312" w:hAnsi="宋体" w:eastAsia="仿宋_GB2312"/>
          <w:kern w:val="0"/>
          <w:sz w:val="32"/>
          <w:szCs w:val="32"/>
        </w:rPr>
        <w:t>加快双一流建设，实现学校内涵式发展，努力实现建设国内同类一流、国际知名高水平大学的目标。</w:t>
      </w:r>
      <w:r>
        <w:rPr>
          <w:rFonts w:hint="eastAsia" w:ascii="仿宋_GB2312" w:hAnsi="宋体" w:eastAsia="仿宋_GB2312"/>
          <w:kern w:val="0"/>
          <w:sz w:val="32"/>
          <w:szCs w:val="32"/>
          <w:lang w:eastAsia="zh-CN"/>
        </w:rPr>
        <w:t>借力学校全面深化改革的东风，整合资源，扩大优势，</w:t>
      </w:r>
      <w:r>
        <w:rPr>
          <w:rFonts w:hint="eastAsia" w:ascii="仿宋_GB2312" w:hAnsi="仿宋_GB2312" w:eastAsia="仿宋_GB2312" w:cs="仿宋_GB2312"/>
          <w:kern w:val="0"/>
          <w:sz w:val="32"/>
          <w:szCs w:val="32"/>
          <w:lang w:eastAsia="zh-CN"/>
        </w:rPr>
        <w:t>将学院建设成</w:t>
      </w:r>
      <w:r>
        <w:rPr>
          <w:rFonts w:hint="eastAsia" w:ascii="仿宋_GB2312" w:hAnsi="仿宋_GB2312" w:eastAsia="仿宋_GB2312" w:cs="仿宋_GB2312"/>
          <w:i w:val="0"/>
          <w:iCs w:val="0"/>
          <w:color w:val="auto"/>
          <w:sz w:val="32"/>
          <w:szCs w:val="32"/>
        </w:rPr>
        <w:t>基础扎实、质量优良、特色明显、省内领先、国内知名的环境类教学研究型学院</w:t>
      </w:r>
      <w:r>
        <w:rPr>
          <w:rFonts w:hint="eastAsia" w:ascii="仿宋_GB2312" w:hAnsi="仿宋_GB2312" w:eastAsia="仿宋_GB2312" w:cs="仿宋_GB2312"/>
          <w:i w:val="0"/>
          <w:iCs w:val="0"/>
          <w:color w:val="auto"/>
          <w:sz w:val="32"/>
          <w:szCs w:val="32"/>
          <w:lang w:eastAsia="zh-CN"/>
        </w:rPr>
        <w:t>。</w:t>
      </w:r>
    </w:p>
    <w:p>
      <w:pPr>
        <w:autoSpaceDE w:val="0"/>
        <w:autoSpaceDN w:val="0"/>
        <w:adjustRightInd w:val="0"/>
        <w:snapToGrid w:val="0"/>
        <w:spacing w:line="560" w:lineRule="exact"/>
        <w:ind w:firstLine="643" w:firstLineChars="200"/>
        <w:jc w:val="both"/>
        <w:rPr>
          <w:rFonts w:ascii="仿宋_GB2312" w:hAnsi="宋体" w:eastAsia="仿宋_GB2312" w:cs="仿宋_GB2312"/>
          <w:bCs/>
          <w:kern w:val="0"/>
          <w:sz w:val="32"/>
          <w:szCs w:val="32"/>
        </w:rPr>
      </w:pPr>
      <w:r>
        <w:rPr>
          <w:rFonts w:hint="eastAsia" w:ascii="仿宋_GB2312" w:hAnsi="宋体" w:eastAsia="仿宋_GB2312" w:cs="仿宋_GB2312"/>
          <w:b/>
          <w:kern w:val="0"/>
          <w:sz w:val="32"/>
          <w:szCs w:val="32"/>
          <w:lang w:eastAsia="zh-CN"/>
        </w:rPr>
        <w:t>院</w:t>
      </w:r>
      <w:r>
        <w:rPr>
          <w:rFonts w:hint="eastAsia" w:ascii="仿宋_GB2312" w:hAnsi="宋体" w:eastAsia="仿宋_GB2312" w:cs="仿宋_GB2312"/>
          <w:b/>
          <w:kern w:val="0"/>
          <w:sz w:val="32"/>
          <w:szCs w:val="32"/>
        </w:rPr>
        <w:t>党委理论中心组学习发言安排：</w:t>
      </w:r>
      <w:r>
        <w:rPr>
          <w:rFonts w:hint="eastAsia" w:ascii="仿宋_GB2312" w:hAnsi="宋体" w:eastAsia="仿宋_GB2312" w:cs="仿宋_GB2312"/>
          <w:b w:val="0"/>
          <w:bCs/>
          <w:kern w:val="0"/>
          <w:sz w:val="32"/>
          <w:szCs w:val="32"/>
          <w:lang w:eastAsia="zh-CN"/>
        </w:rPr>
        <w:t>郑苏法、</w:t>
      </w:r>
      <w:r>
        <w:rPr>
          <w:rFonts w:hint="eastAsia" w:ascii="仿宋_GB2312" w:hAnsi="宋体" w:eastAsia="仿宋_GB2312" w:cs="仿宋_GB2312"/>
          <w:bCs/>
          <w:kern w:val="0"/>
          <w:sz w:val="32"/>
          <w:szCs w:val="32"/>
          <w:lang w:eastAsia="zh-CN"/>
        </w:rPr>
        <w:t>方治国</w:t>
      </w:r>
    </w:p>
    <w:p>
      <w:pPr>
        <w:autoSpaceDE w:val="0"/>
        <w:autoSpaceDN w:val="0"/>
        <w:adjustRightInd w:val="0"/>
        <w:snapToGrid w:val="0"/>
        <w:spacing w:line="560" w:lineRule="exact"/>
        <w:ind w:firstLine="643" w:firstLineChars="200"/>
        <w:jc w:val="both"/>
        <w:rPr>
          <w:rFonts w:ascii="仿宋_GB2312" w:hAnsi="宋体" w:eastAsia="仿宋_GB2312" w:cs="仿宋_GB2312"/>
          <w:b/>
          <w:kern w:val="0"/>
          <w:sz w:val="32"/>
          <w:szCs w:val="32"/>
        </w:rPr>
      </w:pPr>
      <w:r>
        <w:rPr>
          <w:rFonts w:hint="eastAsia" w:ascii="仿宋_GB2312" w:hAnsi="宋体" w:eastAsia="仿宋_GB2312" w:cs="仿宋_GB2312"/>
          <w:b/>
          <w:kern w:val="0"/>
          <w:sz w:val="32"/>
          <w:szCs w:val="32"/>
        </w:rPr>
        <w:t>专题三：深入贯彻省第十四次党代会全面实施高等教育强省战略，紧密结合产业需求，强化产教融合水平，提升社会服务能力，向“两个高水平”奋进</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省第十四次党代会是我省进入高水平全面建成小康社会决胜阶段，站在“两个一百年”交汇的历史关口上召开的一次十分重要的会议。首次提出全面实施高等教育强省战略，同时就实施教育现代化战略作出部署。要深入贯彻省第十四次党代会全面实施高等教育强省战略，紧紧抓住这一有利契机，按照习近平总书记对浙江提出的“秉持浙江精神，干在实处、走在前列、勇立潮头”新要求，自觉把教育工作放到“两个高水平”的目标中思考，放到“六个浙江”“四个强省”建设的全局中谋划，找准定位、发挥优势，自觉当好伟大征程的亲历者、推动者和创造者。要紧紧围绕高等教育强省、教育现代化建设的目标，认真研究深化改革、创新发展、做强做特的具体路径。主动对接“双一流”，加快重点学科建设和产教融合发展工程，更好地为经济转型升级、创新驱动服务，为文化浙江建设服务。要加快教育现代化建设步伐，加强立德树人工作，努力培养更多高水平的社会主义合格建设者和可靠接班人，为“四个强省”建设提供强有力的智力支持和人才支撑。</w:t>
      </w:r>
    </w:p>
    <w:p>
      <w:pPr>
        <w:autoSpaceDE w:val="0"/>
        <w:autoSpaceDN w:val="0"/>
        <w:adjustRightInd w:val="0"/>
        <w:snapToGrid w:val="0"/>
        <w:spacing w:line="560" w:lineRule="exact"/>
        <w:ind w:firstLine="643" w:firstLineChars="200"/>
        <w:jc w:val="both"/>
        <w:rPr>
          <w:rFonts w:ascii="仿宋_GB2312" w:hAnsi="宋体" w:eastAsia="仿宋_GB2312" w:cs="仿宋_GB2312"/>
          <w:bCs/>
          <w:kern w:val="0"/>
          <w:sz w:val="32"/>
          <w:szCs w:val="32"/>
        </w:rPr>
      </w:pPr>
      <w:r>
        <w:rPr>
          <w:rFonts w:hint="eastAsia" w:ascii="仿宋_GB2312" w:hAnsi="宋体" w:eastAsia="仿宋_GB2312" w:cs="仿宋_GB2312"/>
          <w:b/>
          <w:kern w:val="0"/>
          <w:sz w:val="32"/>
          <w:szCs w:val="32"/>
          <w:lang w:eastAsia="zh-CN"/>
        </w:rPr>
        <w:t>院</w:t>
      </w:r>
      <w:r>
        <w:rPr>
          <w:rFonts w:hint="eastAsia" w:ascii="仿宋_GB2312" w:hAnsi="宋体" w:eastAsia="仿宋_GB2312" w:cs="仿宋_GB2312"/>
          <w:b/>
          <w:kern w:val="0"/>
          <w:sz w:val="32"/>
          <w:szCs w:val="32"/>
        </w:rPr>
        <w:t>党委理论中心组学习发言安排：</w:t>
      </w:r>
      <w:r>
        <w:rPr>
          <w:rFonts w:hint="eastAsia" w:ascii="仿宋_GB2312" w:hAnsi="宋体" w:eastAsia="仿宋_GB2312" w:cs="仿宋_GB2312"/>
          <w:bCs/>
          <w:kern w:val="0"/>
          <w:sz w:val="32"/>
          <w:szCs w:val="32"/>
          <w:lang w:eastAsia="zh-CN"/>
        </w:rPr>
        <w:t>陆豪、吴祖良</w:t>
      </w:r>
    </w:p>
    <w:p>
      <w:pPr>
        <w:autoSpaceDE w:val="0"/>
        <w:autoSpaceDN w:val="0"/>
        <w:adjustRightInd w:val="0"/>
        <w:snapToGrid w:val="0"/>
        <w:spacing w:line="560" w:lineRule="exact"/>
        <w:ind w:firstLine="643" w:firstLineChars="200"/>
        <w:jc w:val="both"/>
        <w:rPr>
          <w:rFonts w:ascii="仿宋_GB2312" w:hAnsi="宋体" w:eastAsia="仿宋_GB2312" w:cs="仿宋_GB2312"/>
          <w:b/>
          <w:kern w:val="0"/>
          <w:sz w:val="32"/>
          <w:szCs w:val="32"/>
        </w:rPr>
      </w:pPr>
      <w:r>
        <w:rPr>
          <w:rFonts w:hint="eastAsia" w:ascii="仿宋_GB2312" w:hAnsi="宋体" w:eastAsia="仿宋_GB2312" w:cs="仿宋_GB2312"/>
          <w:b/>
          <w:kern w:val="0"/>
          <w:sz w:val="32"/>
          <w:szCs w:val="32"/>
        </w:rPr>
        <w:t>专题四：学习贯彻中纪委十九届二次全会精神和省纪委十四届二次全会精神，不忘初心，牢记使命，坚定不移全面从严治党，营造学</w:t>
      </w:r>
      <w:r>
        <w:rPr>
          <w:rFonts w:hint="eastAsia" w:ascii="仿宋_GB2312" w:hAnsi="宋体" w:eastAsia="仿宋_GB2312" w:cs="仿宋_GB2312"/>
          <w:b/>
          <w:kern w:val="0"/>
          <w:sz w:val="32"/>
          <w:szCs w:val="32"/>
          <w:lang w:eastAsia="zh-CN"/>
        </w:rPr>
        <w:t>院</w:t>
      </w:r>
      <w:r>
        <w:rPr>
          <w:rFonts w:hint="eastAsia" w:ascii="仿宋_GB2312" w:hAnsi="宋体" w:eastAsia="仿宋_GB2312" w:cs="仿宋_GB2312"/>
          <w:b/>
          <w:kern w:val="0"/>
          <w:sz w:val="32"/>
          <w:szCs w:val="32"/>
        </w:rPr>
        <w:t>风清气正的政治生态</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学习领会党中央推进全面从严治党的决策部署，结合即将在全党开展的“不忘初心、牢记使命”主题教育，突出政治建设统领，贯彻落实新时代党的建设总要求，全面增强八种执政本领，不断提高党的建设质量，确保党始终成为时代先锋、民族脊梁，始终成为马克思主义执政党。发挥好“关键少数”示范带动作用，切实转变工作作风，把践行“三严三实”养成一种习惯、化为一种境界，持之以恒克服形式主义、官僚主义，久久为功祛除享乐主义和奢靡之风，坚决反对特权思想、特权现象，以《党章》为遵循，以《准则》为标准，以《条例》为底线，振奋精神，提升信心，争做忠诚、干净、担当的好干部，大力推进师德师风和学风校风建设，努力营造学</w:t>
      </w:r>
      <w:r>
        <w:rPr>
          <w:rFonts w:hint="eastAsia" w:ascii="仿宋_GB2312" w:hAnsi="宋体" w:eastAsia="仿宋_GB2312"/>
          <w:kern w:val="0"/>
          <w:sz w:val="32"/>
          <w:szCs w:val="32"/>
          <w:lang w:eastAsia="zh-CN"/>
        </w:rPr>
        <w:t>院</w:t>
      </w:r>
      <w:r>
        <w:rPr>
          <w:rFonts w:hint="eastAsia" w:ascii="仿宋_GB2312" w:hAnsi="宋体" w:eastAsia="仿宋_GB2312"/>
          <w:kern w:val="0"/>
          <w:sz w:val="32"/>
          <w:szCs w:val="32"/>
        </w:rPr>
        <w:t>风清气正的政治生态。</w:t>
      </w:r>
    </w:p>
    <w:p>
      <w:pPr>
        <w:autoSpaceDE w:val="0"/>
        <w:autoSpaceDN w:val="0"/>
        <w:adjustRightInd w:val="0"/>
        <w:snapToGrid w:val="0"/>
        <w:spacing w:line="560" w:lineRule="exact"/>
        <w:ind w:firstLine="643" w:firstLineChars="200"/>
        <w:jc w:val="both"/>
        <w:rPr>
          <w:rFonts w:ascii="仿宋_GB2312" w:hAnsi="宋体" w:eastAsia="仿宋_GB2312" w:cs="仿宋_GB2312"/>
          <w:bCs/>
          <w:kern w:val="0"/>
          <w:sz w:val="32"/>
          <w:szCs w:val="32"/>
        </w:rPr>
      </w:pPr>
      <w:r>
        <w:rPr>
          <w:rFonts w:hint="eastAsia" w:ascii="仿宋_GB2312" w:hAnsi="宋体" w:eastAsia="仿宋_GB2312" w:cs="仿宋_GB2312"/>
          <w:b/>
          <w:kern w:val="0"/>
          <w:sz w:val="32"/>
          <w:szCs w:val="32"/>
          <w:lang w:eastAsia="zh-CN"/>
        </w:rPr>
        <w:t>院</w:t>
      </w:r>
      <w:r>
        <w:rPr>
          <w:rFonts w:hint="eastAsia" w:ascii="仿宋_GB2312" w:hAnsi="宋体" w:eastAsia="仿宋_GB2312" w:cs="仿宋_GB2312"/>
          <w:b/>
          <w:kern w:val="0"/>
          <w:sz w:val="32"/>
          <w:szCs w:val="32"/>
        </w:rPr>
        <w:t>党委理论中心组学习发言安排：</w:t>
      </w:r>
      <w:r>
        <w:rPr>
          <w:rFonts w:hint="eastAsia" w:ascii="仿宋_GB2312" w:hAnsi="宋体" w:eastAsia="仿宋_GB2312" w:cs="仿宋_GB2312"/>
          <w:bCs/>
          <w:kern w:val="0"/>
          <w:sz w:val="32"/>
          <w:szCs w:val="32"/>
          <w:lang w:eastAsia="zh-CN"/>
        </w:rPr>
        <w:t>楼菊青、王连卿</w:t>
      </w:r>
    </w:p>
    <w:p>
      <w:pPr>
        <w:autoSpaceDE w:val="0"/>
        <w:autoSpaceDN w:val="0"/>
        <w:adjustRightInd w:val="0"/>
        <w:snapToGrid w:val="0"/>
        <w:spacing w:line="560" w:lineRule="exact"/>
        <w:ind w:firstLine="643" w:firstLineChars="200"/>
        <w:jc w:val="both"/>
        <w:rPr>
          <w:rFonts w:ascii="仿宋_GB2312" w:hAnsi="宋体" w:eastAsia="仿宋_GB2312"/>
          <w:b/>
          <w:bCs/>
          <w:kern w:val="0"/>
          <w:sz w:val="32"/>
          <w:szCs w:val="32"/>
        </w:rPr>
      </w:pPr>
      <w:r>
        <w:rPr>
          <w:rFonts w:hint="eastAsia" w:ascii="仿宋_GB2312" w:hAnsi="宋体" w:eastAsia="仿宋_GB2312"/>
          <w:b/>
          <w:bCs/>
          <w:kern w:val="0"/>
          <w:sz w:val="32"/>
          <w:szCs w:val="32"/>
        </w:rPr>
        <w:t>三、学习方法</w:t>
      </w:r>
    </w:p>
    <w:p>
      <w:pPr>
        <w:autoSpaceDE w:val="0"/>
        <w:autoSpaceDN w:val="0"/>
        <w:adjustRightInd w:val="0"/>
        <w:snapToGrid w:val="0"/>
        <w:spacing w:line="560" w:lineRule="exact"/>
        <w:ind w:firstLine="643" w:firstLineChars="200"/>
        <w:jc w:val="both"/>
        <w:rPr>
          <w:rFonts w:ascii="仿宋_GB2312" w:hAnsi="宋体" w:eastAsia="仿宋_GB2312"/>
          <w:kern w:val="0"/>
          <w:sz w:val="32"/>
          <w:szCs w:val="32"/>
        </w:rPr>
      </w:pPr>
      <w:r>
        <w:rPr>
          <w:rFonts w:hint="eastAsia" w:ascii="仿宋_GB2312" w:hAnsi="宋体" w:eastAsia="仿宋_GB2312"/>
          <w:b/>
          <w:bCs/>
          <w:kern w:val="0"/>
          <w:sz w:val="32"/>
          <w:szCs w:val="32"/>
        </w:rPr>
        <w:t>（一）集体学习研讨。</w:t>
      </w:r>
      <w:r>
        <w:rPr>
          <w:rFonts w:hint="eastAsia" w:ascii="仿宋_GB2312" w:hAnsi="宋体" w:eastAsia="仿宋_GB2312"/>
          <w:kern w:val="0"/>
          <w:sz w:val="32"/>
          <w:szCs w:val="32"/>
        </w:rPr>
        <w:t>应当将集体学习研讨作为学习的主要形式，把重点发言和集体研讨、专题学习和系统学习结合起来，深入开展学习讨论和互动交流。以中心组成员自己学、自己讲为主，适当组织专题讲座、专家辅导报告，做好学习记录和台账工作。</w:t>
      </w:r>
    </w:p>
    <w:p>
      <w:pPr>
        <w:autoSpaceDE w:val="0"/>
        <w:autoSpaceDN w:val="0"/>
        <w:adjustRightInd w:val="0"/>
        <w:snapToGrid w:val="0"/>
        <w:spacing w:line="560" w:lineRule="exact"/>
        <w:ind w:firstLine="643" w:firstLineChars="200"/>
        <w:jc w:val="both"/>
        <w:rPr>
          <w:rFonts w:ascii="仿宋_GB2312" w:hAnsi="宋体" w:eastAsia="仿宋_GB2312"/>
          <w:kern w:val="0"/>
          <w:sz w:val="32"/>
          <w:szCs w:val="32"/>
        </w:rPr>
      </w:pPr>
      <w:r>
        <w:rPr>
          <w:rFonts w:hint="eastAsia" w:ascii="仿宋_GB2312" w:hAnsi="宋体" w:eastAsia="仿宋_GB2312"/>
          <w:b/>
          <w:bCs/>
          <w:kern w:val="0"/>
          <w:sz w:val="32"/>
          <w:szCs w:val="32"/>
        </w:rPr>
        <w:t>（二）个人自学。</w:t>
      </w:r>
      <w:r>
        <w:rPr>
          <w:rFonts w:hint="eastAsia" w:ascii="仿宋_GB2312" w:hAnsi="宋体" w:eastAsia="仿宋_GB2312"/>
          <w:kern w:val="0"/>
          <w:sz w:val="32"/>
          <w:szCs w:val="32"/>
        </w:rPr>
        <w:t>应当根据形势任务的要求，联系工作实际、岗位实际和本人实际，明确学习重点，研读必要书目，下功夫刻苦学习；要带头上好党课，做好对重要理论问题和师生关注热点问题的解读与引导，充分发挥带学促学作用。</w:t>
      </w:r>
    </w:p>
    <w:p>
      <w:pPr>
        <w:autoSpaceDE w:val="0"/>
        <w:autoSpaceDN w:val="0"/>
        <w:adjustRightInd w:val="0"/>
        <w:snapToGrid w:val="0"/>
        <w:spacing w:line="560" w:lineRule="exact"/>
        <w:ind w:firstLine="643" w:firstLineChars="200"/>
        <w:jc w:val="both"/>
        <w:rPr>
          <w:rFonts w:ascii="仿宋_GB2312" w:hAnsi="宋体" w:eastAsia="仿宋_GB2312"/>
          <w:kern w:val="0"/>
          <w:sz w:val="32"/>
          <w:szCs w:val="32"/>
        </w:rPr>
      </w:pPr>
      <w:r>
        <w:rPr>
          <w:rFonts w:hint="eastAsia" w:ascii="仿宋_GB2312" w:hAnsi="宋体" w:eastAsia="仿宋_GB2312"/>
          <w:b/>
          <w:bCs/>
          <w:kern w:val="0"/>
          <w:sz w:val="32"/>
          <w:szCs w:val="32"/>
        </w:rPr>
        <w:t>（三）专题调研。</w:t>
      </w:r>
      <w:r>
        <w:rPr>
          <w:rFonts w:hint="eastAsia" w:ascii="仿宋_GB2312" w:hAnsi="宋体" w:eastAsia="仿宋_GB2312"/>
          <w:kern w:val="0"/>
          <w:sz w:val="32"/>
          <w:szCs w:val="32"/>
        </w:rPr>
        <w:t>应当把理论学习与专题调研结合起来，坚持深入基层、深入群众，扎实开展调查研究，把发现问题、解决问题作为出发点和落脚点，深化理论学习，提升聚焦问题、研究对策、破解瓶颈的能力和水平。</w:t>
      </w:r>
    </w:p>
    <w:p>
      <w:pPr>
        <w:autoSpaceDE w:val="0"/>
        <w:autoSpaceDN w:val="0"/>
        <w:adjustRightInd w:val="0"/>
        <w:snapToGrid w:val="0"/>
        <w:spacing w:line="560" w:lineRule="exact"/>
        <w:ind w:firstLine="643" w:firstLineChars="200"/>
        <w:jc w:val="both"/>
        <w:rPr>
          <w:rFonts w:ascii="仿宋_GB2312" w:hAnsi="宋体" w:eastAsia="仿宋_GB2312"/>
          <w:b/>
          <w:bCs/>
          <w:kern w:val="0"/>
          <w:sz w:val="32"/>
          <w:szCs w:val="32"/>
        </w:rPr>
      </w:pPr>
      <w:r>
        <w:rPr>
          <w:rFonts w:hint="eastAsia" w:ascii="仿宋_GB2312" w:hAnsi="宋体" w:eastAsia="仿宋_GB2312"/>
          <w:b/>
          <w:bCs/>
          <w:kern w:val="0"/>
          <w:sz w:val="32"/>
          <w:szCs w:val="32"/>
        </w:rPr>
        <w:t>四、学习管理、考核与问责</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（一）各</w:t>
      </w:r>
      <w:r>
        <w:rPr>
          <w:rFonts w:hint="eastAsia" w:ascii="仿宋_GB2312" w:hAnsi="宋体" w:eastAsia="仿宋_GB2312"/>
          <w:kern w:val="0"/>
          <w:sz w:val="32"/>
          <w:szCs w:val="32"/>
          <w:lang w:eastAsia="zh-CN"/>
        </w:rPr>
        <w:t>党支部</w:t>
      </w:r>
      <w:r>
        <w:rPr>
          <w:rFonts w:hint="eastAsia" w:ascii="仿宋_GB2312" w:hAnsi="宋体" w:eastAsia="仿宋_GB2312"/>
          <w:kern w:val="0"/>
          <w:sz w:val="32"/>
          <w:szCs w:val="32"/>
        </w:rPr>
        <w:t>要根据学</w:t>
      </w:r>
      <w:r>
        <w:rPr>
          <w:rFonts w:hint="eastAsia" w:ascii="仿宋_GB2312" w:hAnsi="宋体" w:eastAsia="仿宋_GB2312"/>
          <w:kern w:val="0"/>
          <w:sz w:val="32"/>
          <w:szCs w:val="32"/>
          <w:lang w:eastAsia="zh-CN"/>
        </w:rPr>
        <w:t>院</w:t>
      </w:r>
      <w:r>
        <w:rPr>
          <w:rFonts w:hint="eastAsia" w:ascii="仿宋_GB2312" w:hAnsi="宋体" w:eastAsia="仿宋_GB2312"/>
          <w:kern w:val="0"/>
          <w:sz w:val="32"/>
          <w:szCs w:val="32"/>
        </w:rPr>
        <w:t>党委对理论学习的总体安排和要求，结合实际，</w:t>
      </w:r>
      <w:r>
        <w:rPr>
          <w:rFonts w:hint="eastAsia" w:ascii="仿宋_GB2312" w:hAnsi="宋体" w:eastAsia="仿宋_GB2312"/>
          <w:kern w:val="0"/>
          <w:sz w:val="32"/>
          <w:szCs w:val="32"/>
          <w:lang w:eastAsia="zh-CN"/>
        </w:rPr>
        <w:t>积极参与，主动学习，狠抓落实</w:t>
      </w:r>
      <w:r>
        <w:rPr>
          <w:rFonts w:hint="eastAsia" w:ascii="仿宋_GB2312" w:hAnsi="宋体" w:eastAsia="仿宋_GB2312"/>
          <w:kern w:val="0"/>
          <w:sz w:val="32"/>
          <w:szCs w:val="32"/>
        </w:rPr>
        <w:t>。</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（二）</w:t>
      </w:r>
      <w:r>
        <w:rPr>
          <w:rFonts w:hint="eastAsia" w:ascii="仿宋_GB2312" w:hAnsi="宋体" w:eastAsia="仿宋_GB2312"/>
          <w:kern w:val="0"/>
          <w:sz w:val="32"/>
          <w:szCs w:val="32"/>
          <w:lang w:eastAsia="zh-CN"/>
        </w:rPr>
        <w:t>院党委</w:t>
      </w:r>
      <w:r>
        <w:rPr>
          <w:rFonts w:hint="eastAsia" w:ascii="仿宋_GB2312" w:hAnsi="宋体" w:eastAsia="仿宋_GB2312"/>
          <w:kern w:val="0"/>
          <w:sz w:val="32"/>
          <w:szCs w:val="32"/>
        </w:rPr>
        <w:t>理论学习中心</w:t>
      </w:r>
      <w:bookmarkStart w:id="1" w:name="_GoBack"/>
      <w:bookmarkEnd w:id="1"/>
      <w:r>
        <w:rPr>
          <w:rFonts w:hint="eastAsia" w:ascii="仿宋_GB2312" w:hAnsi="宋体" w:eastAsia="仿宋_GB2312"/>
          <w:kern w:val="0"/>
          <w:sz w:val="32"/>
          <w:szCs w:val="32"/>
        </w:rPr>
        <w:t>组</w:t>
      </w:r>
      <w:r>
        <w:rPr>
          <w:rFonts w:hint="eastAsia" w:ascii="仿宋_GB2312" w:hAnsi="宋体" w:eastAsia="仿宋_GB2312"/>
          <w:kern w:val="0"/>
          <w:sz w:val="32"/>
          <w:szCs w:val="32"/>
          <w:lang w:eastAsia="zh-CN"/>
        </w:rPr>
        <w:t>将</w:t>
      </w:r>
      <w:r>
        <w:rPr>
          <w:rFonts w:hint="eastAsia" w:ascii="仿宋_GB2312" w:hAnsi="宋体" w:eastAsia="仿宋_GB2312"/>
          <w:kern w:val="0"/>
          <w:sz w:val="32"/>
          <w:szCs w:val="32"/>
        </w:rPr>
        <w:t>带头开展调研、撰写理论文章和解决实际问题，提高学习实效。定期向</w:t>
      </w:r>
      <w:r>
        <w:rPr>
          <w:rFonts w:hint="eastAsia" w:ascii="仿宋_GB2312" w:hAnsi="宋体" w:eastAsia="仿宋_GB2312"/>
          <w:kern w:val="0"/>
          <w:sz w:val="32"/>
          <w:szCs w:val="32"/>
          <w:lang w:eastAsia="zh-CN"/>
        </w:rPr>
        <w:t>校</w:t>
      </w:r>
      <w:r>
        <w:rPr>
          <w:rFonts w:hint="eastAsia" w:ascii="仿宋_GB2312" w:hAnsi="宋体" w:eastAsia="仿宋_GB2312"/>
          <w:kern w:val="0"/>
          <w:sz w:val="32"/>
          <w:szCs w:val="32"/>
        </w:rPr>
        <w:t>党委报送中心组学习情况。</w:t>
      </w:r>
    </w:p>
    <w:p>
      <w:pPr>
        <w:autoSpaceDE w:val="0"/>
        <w:autoSpaceDN w:val="0"/>
        <w:adjustRightInd w:val="0"/>
        <w:snapToGrid w:val="0"/>
        <w:spacing w:line="560" w:lineRule="exact"/>
        <w:ind w:firstLine="640" w:firstLineChars="200"/>
        <w:jc w:val="both"/>
        <w:rPr>
          <w:rFonts w:ascii="仿宋_GB2312" w:hAnsi="宋体" w:eastAsia="仿宋_GB2312"/>
          <w:kern w:val="0"/>
          <w:sz w:val="32"/>
          <w:szCs w:val="32"/>
        </w:rPr>
      </w:pP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三</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院党委将根据学校有关规定</w:t>
      </w:r>
      <w:r>
        <w:rPr>
          <w:rFonts w:hint="eastAsia" w:ascii="仿宋_GB2312" w:hAnsi="宋体" w:eastAsia="仿宋_GB2312"/>
          <w:kern w:val="0"/>
          <w:sz w:val="32"/>
          <w:szCs w:val="32"/>
        </w:rPr>
        <w:t>对学习情况进行督查考核。督查采取自查、抽查或者普查的方式进行。</w:t>
      </w:r>
      <w:r>
        <w:rPr>
          <w:rFonts w:hint="eastAsia" w:ascii="仿宋_GB2312" w:hAnsi="宋体" w:eastAsia="仿宋_GB2312"/>
          <w:kern w:val="0"/>
          <w:sz w:val="32"/>
          <w:szCs w:val="32"/>
          <w:lang w:eastAsia="zh-CN"/>
        </w:rPr>
        <w:t>对</w:t>
      </w:r>
      <w:r>
        <w:rPr>
          <w:rFonts w:hint="eastAsia" w:ascii="仿宋_GB2312" w:hAnsi="宋体" w:eastAsia="仿宋_GB2312"/>
          <w:kern w:val="0"/>
          <w:sz w:val="32"/>
          <w:szCs w:val="32"/>
        </w:rPr>
        <w:t>开展不力、出现错误倾向产生恶劣影响的，将按照有关规定问责。</w:t>
      </w:r>
    </w:p>
    <w:p>
      <w:pPr>
        <w:autoSpaceDE w:val="0"/>
        <w:autoSpaceDN w:val="0"/>
        <w:adjustRightInd w:val="0"/>
        <w:snapToGrid w:val="0"/>
        <w:spacing w:line="560" w:lineRule="exact"/>
        <w:jc w:val="both"/>
        <w:rPr>
          <w:rFonts w:ascii="仿宋_GB2312" w:eastAsia="仿宋_GB2312"/>
          <w:sz w:val="32"/>
          <w:szCs w:val="32"/>
        </w:rPr>
      </w:pPr>
    </w:p>
    <w:p>
      <w:pPr>
        <w:autoSpaceDE w:val="0"/>
        <w:autoSpaceDN w:val="0"/>
        <w:adjustRightInd w:val="0"/>
        <w:snapToGrid w:val="0"/>
        <w:spacing w:line="560" w:lineRule="exact"/>
        <w:jc w:val="both"/>
        <w:rPr>
          <w:rFonts w:ascii="仿宋_GB2312" w:eastAsia="仿宋_GB2312"/>
          <w:sz w:val="32"/>
          <w:szCs w:val="32"/>
        </w:rPr>
      </w:pPr>
    </w:p>
    <w:p>
      <w:pPr>
        <w:spacing w:line="560" w:lineRule="exact"/>
        <w:jc w:val="both"/>
        <w:rPr>
          <w:rFonts w:ascii="仿宋_GB2312" w:eastAsia="仿宋_GB2312"/>
          <w:sz w:val="32"/>
          <w:szCs w:val="32"/>
        </w:rPr>
      </w:pPr>
      <w:r>
        <w:rPr>
          <w:rFonts w:hint="eastAsia" w:ascii="仿宋_GB2312" w:eastAsia="仿宋_GB2312"/>
          <w:sz w:val="32"/>
          <w:szCs w:val="32"/>
        </w:rPr>
        <w:t xml:space="preserve">                       中共</w:t>
      </w:r>
      <w:r>
        <w:rPr>
          <w:rFonts w:hint="eastAsia" w:ascii="仿宋_GB2312" w:eastAsia="仿宋_GB2312"/>
          <w:sz w:val="32"/>
          <w:szCs w:val="32"/>
          <w:lang w:eastAsia="zh-CN"/>
        </w:rPr>
        <w:t>环境科学与工程学院</w:t>
      </w:r>
      <w:r>
        <w:rPr>
          <w:rFonts w:hint="eastAsia" w:ascii="仿宋_GB2312" w:eastAsia="仿宋_GB2312"/>
          <w:sz w:val="32"/>
          <w:szCs w:val="32"/>
        </w:rPr>
        <w:t>委员会</w:t>
      </w:r>
    </w:p>
    <w:p>
      <w:pPr>
        <w:spacing w:line="560" w:lineRule="exact"/>
        <w:jc w:val="both"/>
        <w:rPr>
          <w:rFonts w:hint="eastAsia" w:ascii="仿宋_GB2312" w:eastAsia="仿宋_GB2312"/>
          <w:sz w:val="32"/>
          <w:szCs w:val="32"/>
        </w:rPr>
      </w:pPr>
      <w:r>
        <w:rPr>
          <w:rFonts w:hint="eastAsia" w:ascii="仿宋_GB2312" w:eastAsia="仿宋_GB2312"/>
          <w:sz w:val="32"/>
          <w:szCs w:val="32"/>
        </w:rPr>
        <w:t xml:space="preserve">                             2018年4月</w:t>
      </w:r>
      <w:r>
        <w:rPr>
          <w:rFonts w:hint="eastAsia" w:ascii="仿宋_GB2312" w:eastAsia="仿宋_GB2312"/>
          <w:sz w:val="32"/>
          <w:szCs w:val="32"/>
          <w:lang w:val="en-US" w:eastAsia="zh-CN"/>
        </w:rPr>
        <w:t>13</w:t>
      </w:r>
      <w:r>
        <w:rPr>
          <w:rFonts w:hint="eastAsia" w:ascii="仿宋_GB2312" w:eastAsia="仿宋_GB2312"/>
          <w:sz w:val="32"/>
          <w:szCs w:val="32"/>
        </w:rPr>
        <w:t>日</w:t>
      </w: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jc w:val="both"/>
        <w:rPr>
          <w:sz w:val="32"/>
          <w:szCs w:val="32"/>
        </w:rPr>
      </w:pPr>
    </w:p>
    <w:p>
      <w:pPr>
        <w:spacing w:line="540" w:lineRule="exact"/>
        <w:jc w:val="both"/>
        <w:rPr>
          <w:rFonts w:hint="eastAsia" w:ascii="仿宋_GB2312" w:eastAsia="仿宋_GB2312"/>
          <w:w w:val="80"/>
          <w:sz w:val="32"/>
          <w:szCs w:val="32"/>
        </w:rPr>
      </w:pPr>
    </w:p>
    <w:p>
      <w:pPr>
        <w:spacing w:line="540" w:lineRule="exact"/>
        <w:ind w:firstLine="384" w:firstLineChars="150"/>
        <w:jc w:val="both"/>
        <w:rPr>
          <w:sz w:val="32"/>
          <w:szCs w:val="32"/>
        </w:rPr>
      </w:pPr>
      <w:r>
        <w:rPr>
          <w:rFonts w:ascii="黑体" w:eastAsia="黑体"/>
          <w:w w:val="8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434340</wp:posOffset>
                </wp:positionV>
                <wp:extent cx="5461635" cy="13970"/>
                <wp:effectExtent l="0" t="0" r="0" b="0"/>
                <wp:wrapNone/>
                <wp:docPr id="3" name="直线 4"/>
                <wp:cNvGraphicFramePr/>
                <a:graphic xmlns:a="http://schemas.openxmlformats.org/drawingml/2006/main">
                  <a:graphicData uri="http://schemas.microsoft.com/office/word/2010/wordprocessingShape">
                    <wps:wsp>
                      <wps:cNvCnPr/>
                      <wps:spPr>
                        <a:xfrm>
                          <a:off x="0" y="0"/>
                          <a:ext cx="5461635" cy="13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34.2pt;height:1.1pt;width:430.05pt;z-index:251662336;mso-width-relative:page;mso-height-relative:page;" filled="f" stroked="t" coordsize="21600,21600" o:gfxdata="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IulYtQAAAAGAQAADwAAAAAAAAABACAA&#10;AAAiAAAAZHJzL2Rvd25yZXYueG1sUEsBAhQAFAAAAAgAh07iQHV70dHYAQAAnwMAAA4AAAAAAAAA&#10;AQAgAAAAIwEAAGRycy9lMm9Eb2MueG1sUEsFBgAAAAAGAAYAWQEAAG0FAAAAAA==&#10;">
                <v:fill on="f" focussize="0,0"/>
                <v:stroke color="#000000" joinstyle="round"/>
                <v:imagedata o:title=""/>
                <o:lock v:ext="edit" aspectratio="f"/>
              </v:line>
            </w:pict>
          </mc:Fallback>
        </mc:AlternateContent>
      </w:r>
      <w:r>
        <w:rPr>
          <w:rFonts w:ascii="黑体" w:eastAsia="黑体"/>
          <w:w w:val="8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5461635" cy="10160"/>
                <wp:effectExtent l="0" t="0" r="0" b="0"/>
                <wp:wrapNone/>
                <wp:docPr id="4" name="直线 5"/>
                <wp:cNvGraphicFramePr/>
                <a:graphic xmlns:a="http://schemas.openxmlformats.org/drawingml/2006/main">
                  <a:graphicData uri="http://schemas.microsoft.com/office/word/2010/wordprocessingShape">
                    <wps:wsp>
                      <wps:cNvCnPr/>
                      <wps:spPr>
                        <a:xfrm>
                          <a:off x="0" y="0"/>
                          <a:ext cx="5461635" cy="101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pt;height:0.8pt;width:430.05pt;z-index:251661312;mso-width-relative:page;mso-height-relative:page;" filled="f" stroked="t" coordsize="21600,21600" o:gfxdata="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93Uy1AAAAAQBAAAPAAAAAAAAAAEAIAAA&#10;ACIAAABkcnMvZG93bnJldi54bWxQSwECFAAUAAAACACHTuJAeP458dcBAACfAwAADgAAAAAAAAAB&#10;ACAAAAAjAQAAZHJzL2Uyb0RvYy54bWxQSwUGAAAAAAYABgBZAQAAbAUAAAAA&#10;">
                <v:fill on="f" focussize="0,0"/>
                <v:stroke color="#000000" joinstyle="round"/>
                <v:imagedata o:title=""/>
                <o:lock v:ext="edit" aspectratio="f"/>
              </v:line>
            </w:pict>
          </mc:Fallback>
        </mc:AlternateContent>
      </w:r>
      <w:r>
        <w:rPr>
          <w:rFonts w:hint="eastAsia" w:ascii="仿宋_GB2312" w:eastAsia="仿宋_GB2312"/>
          <w:w w:val="80"/>
          <w:sz w:val="32"/>
          <w:szCs w:val="32"/>
        </w:rPr>
        <w:t>中共浙江工商大学环境科学与工程学院委员会</w:t>
      </w:r>
      <w:r>
        <w:rPr>
          <w:rFonts w:hint="eastAsia" w:ascii="仿宋_GB2312" w:eastAsia="仿宋_GB2312"/>
          <w:w w:val="90"/>
          <w:sz w:val="32"/>
          <w:szCs w:val="32"/>
        </w:rPr>
        <w:t xml:space="preserve">   </w:t>
      </w:r>
      <w:r>
        <w:rPr>
          <w:rFonts w:hint="eastAsia" w:ascii="仿宋_GB2312" w:eastAsia="仿宋_GB2312"/>
          <w:w w:val="90"/>
          <w:sz w:val="32"/>
          <w:szCs w:val="32"/>
          <w:lang w:val="en-US" w:eastAsia="zh-CN"/>
        </w:rPr>
        <w:t xml:space="preserve"> </w:t>
      </w:r>
      <w:r>
        <w:rPr>
          <w:rFonts w:hint="eastAsia" w:ascii="仿宋_GB2312" w:eastAsia="仿宋_GB2312"/>
          <w:w w:val="90"/>
          <w:sz w:val="32"/>
          <w:szCs w:val="32"/>
        </w:rPr>
        <w:t>201</w:t>
      </w:r>
      <w:r>
        <w:rPr>
          <w:rFonts w:hint="eastAsia" w:ascii="仿宋_GB2312" w:eastAsia="仿宋_GB2312"/>
          <w:w w:val="90"/>
          <w:sz w:val="32"/>
          <w:szCs w:val="32"/>
          <w:lang w:val="en-US" w:eastAsia="zh-CN"/>
        </w:rPr>
        <w:t>8</w:t>
      </w:r>
      <w:r>
        <w:rPr>
          <w:rFonts w:hint="eastAsia" w:ascii="仿宋_GB2312" w:eastAsia="仿宋_GB2312"/>
          <w:w w:val="90"/>
          <w:sz w:val="32"/>
          <w:szCs w:val="32"/>
        </w:rPr>
        <w:t>年</w:t>
      </w:r>
      <w:r>
        <w:rPr>
          <w:rFonts w:hint="eastAsia" w:ascii="仿宋_GB2312" w:eastAsia="仿宋_GB2312"/>
          <w:w w:val="90"/>
          <w:sz w:val="32"/>
          <w:szCs w:val="32"/>
          <w:lang w:val="en-US" w:eastAsia="zh-CN"/>
        </w:rPr>
        <w:t>4</w:t>
      </w:r>
      <w:r>
        <w:rPr>
          <w:rFonts w:hint="eastAsia" w:ascii="仿宋_GB2312" w:eastAsia="仿宋_GB2312"/>
          <w:w w:val="90"/>
          <w:sz w:val="32"/>
          <w:szCs w:val="32"/>
        </w:rPr>
        <w:t>月</w:t>
      </w:r>
      <w:r>
        <w:rPr>
          <w:rFonts w:hint="eastAsia" w:ascii="仿宋_GB2312" w:eastAsia="仿宋_GB2312"/>
          <w:w w:val="90"/>
          <w:sz w:val="32"/>
          <w:szCs w:val="32"/>
          <w:lang w:val="en-US" w:eastAsia="zh-CN"/>
        </w:rPr>
        <w:t>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ZXBSJW--GB1-0">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41EF"/>
    <w:rsid w:val="08626C3C"/>
    <w:rsid w:val="18532E62"/>
    <w:rsid w:val="2B600C9D"/>
    <w:rsid w:val="39DC0F00"/>
    <w:rsid w:val="41275478"/>
    <w:rsid w:val="4681360C"/>
    <w:rsid w:val="53BA1F40"/>
    <w:rsid w:val="66D24BF4"/>
    <w:rsid w:val="732B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2018-04-13T05:52:40Z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