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spacing w:line="240" w:lineRule="exact"/>
        <w:rPr>
          <w:rFonts w:ascii="仿宋_GB2312" w:eastAsia="仿宋_GB2312"/>
          <w:color w:val="FF0000"/>
          <w:sz w:val="32"/>
          <w:u w:val="thick"/>
        </w:rPr>
      </w:pPr>
      <w:r>
        <w:rPr>
          <w:rFonts w:hint="eastAsia" w:ascii="仿宋_GB2312" w:eastAsia="仿宋_GB2312"/>
          <w:color w:val="FF0000"/>
          <w:sz w:val="32"/>
          <w:u w:val="thick"/>
        </w:rPr>
        <w:t xml:space="preserve">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shd w:val="clear" w:fill="FFFFFF"/>
        </w:rPr>
        <w:t>关于开展2017年度民主评议党员工作的通知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各党支部：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为认真贯彻落实党的十九大精神，坚持党要管党、全面从严治党，切实加强党员教育管理，提高党员素质，保持党员队伍的先进性和纯洁性，根据《中国共产党章程》以及上级有关精神和要求，现就开展2017年度民主评议党员工作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30" w:firstLineChars="196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一、参加人员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学院全体党员。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30" w:firstLineChars="196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二、评议内容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对照党章规定的党员标准，重点围绕理想信念、政治立场、组织纪律、作风建设和工作履职尽责、履行党员义务以及“两学一做”学习教育情况等开展评议。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30" w:firstLineChars="196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三、评议步骤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以党支部为单位，有计划、有步骤地开展民主评议党员工作。基本做法和步骤是：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（一）学习教育。组织党员认真学习党章，学习上级党组织有关文件，明确党员标准；学习与党员民主评议有关的党内规定，明确开展民主评议活动的目的和方法，增强思想自觉和行动自觉。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（二）自我评价。组织党员严格对照党员标准和评议内容，总结个人在思想、学习、工作、生活等方面的情况，认真进行党性分析，对是否符合党员标准、是否发挥党员先锋模范作用等进行自我评价。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（三）征求意见。党支部采取适当的形式，广泛听取师生和其他党员的意见，及时把意见反馈给党员本人。在民主评议前，组织开展谈心谈话等。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（四）民主评议。召开党支部会，进行民主评议。党员人数较多的党支部，可分党小组进行。评议中，要认真开展批评和自我批评，敢于直面问题。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（五）组织评定。召开党支部委员会，对照党员民主评议的内容，对党员的党性分析、党内外评议意见，进行分析综合，形成组织意见，确定评议结果。评议结果告知党员本人，并报院党委审定。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30" w:firstLineChars="196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四、表彰处理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1.评议结果分为优秀、合格、不合格三种情况。在“两学一做”学习教育中党员先锋模范作用发挥较好的党员（在教学、科研、管理、服务和学习中表率作用明显、师生认可度较高）可评为优秀，优秀的比例一般不超过20%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为深化“党员影响力工程”，鼓励党员立足岗位发挥作用，在年度党员民主评议的基础上，选树有“影响力”党员。各支部可在被评为优秀的党员中，推选1位表现突出的党员（中层及以上领导干部原则上不参评），作为本支部有“影响力”党员上报院党委审核认定，作为“两优一先”等党内评优的重要参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根据省委组织部《关于做好不合格党员处置工作的指导意见》（浙组[2016]5号）精神，对于触碰党员管理“十条红线”的情形，应认定为不合格党员（具体情形详见附件）。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2.预备党员也要参加民主评议，但由于尚在培养考察期，一般不评为优秀。其民主评议结果作为能否按期转正的重要依据。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3.对于发现和存在问题的党员，由党支部书记或院党委安排人员谈话，进行帮助教育和整改；对评议为不合格的党员，按照有关规定和组织程序进行处理，并做好思想工作。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4.做好台账资料管理。民主评议工作结束后，有关材料交院党委进行归档保存。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30" w:firstLineChars="196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五、组织领导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民主评议党员工作，由院党委统一领导，各党支部要高度重视，确保取得实效。各党支部书记作为党员民主评议工作的第一责任人，要切实履好职，带好头。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按照上级要求，党员民主评议工作在12月4日前完成。评议结果将录入党员信息系统。请各党支部将民主评议党员有关情况汇总表及有“影响力”党员名单于12月8日前报送给陈闯。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联系人：陈闯  28008221，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邮箱：zjgsdxcc@zjgsu.edu.cn。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附件：1.认定为不合格党员的情形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2.浙江工商大学民主评议党员登记表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  <w:t>3.浙江工商大学民主评议党员有关情况汇总表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中共浙江工商大学</w:t>
      </w:r>
      <w:r>
        <w:rPr>
          <w:rFonts w:hint="eastAsia" w:ascii="仿宋_GB2312" w:eastAsia="仿宋_GB2312"/>
          <w:sz w:val="32"/>
          <w:szCs w:val="32"/>
          <w:lang w:eastAsia="zh-CN"/>
        </w:rPr>
        <w:t>环境科学与工程学院</w:t>
      </w:r>
      <w:r>
        <w:rPr>
          <w:rFonts w:hint="eastAsia" w:ascii="仿宋_GB2312" w:eastAsia="仿宋_GB2312"/>
          <w:sz w:val="32"/>
          <w:szCs w:val="32"/>
        </w:rPr>
        <w:t>委员会</w:t>
      </w:r>
    </w:p>
    <w:p>
      <w:pPr>
        <w:spacing w:line="56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jc w:val="both"/>
        <w:rPr>
          <w:sz w:val="30"/>
          <w:szCs w:val="30"/>
        </w:rPr>
      </w:pPr>
    </w:p>
    <w:p>
      <w:pPr>
        <w:spacing w:line="560" w:lineRule="exact"/>
        <w:jc w:val="both"/>
        <w:rPr>
          <w:sz w:val="30"/>
          <w:szCs w:val="30"/>
        </w:rPr>
      </w:pPr>
    </w:p>
    <w:p>
      <w:pPr>
        <w:spacing w:line="540" w:lineRule="exact"/>
        <w:ind w:firstLine="384" w:firstLineChars="150"/>
        <w:jc w:val="both"/>
        <w:rPr>
          <w:rFonts w:ascii="宋体" w:hAnsi="宋体"/>
          <w:color w:val="000000"/>
          <w:spacing w:val="15"/>
          <w:w w:val="90"/>
          <w:sz w:val="28"/>
          <w:szCs w:val="28"/>
          <w:shd w:val="clear" w:color="auto" w:fill="FFFFFF"/>
        </w:rPr>
      </w:pP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4.2pt;height:0pt;width:446.25pt;z-index:251662336;mso-width-relative:page;mso-height-relative:page;" filled="f" stroked="t" coordsize="21600,21600" o:gfxdata="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ZhYAq1AAAAAYBAAAPAAAAAAAAAAEAIAAAACIAAABkcnMv&#10;ZG93bnJldi54bWxQSwECFAAUAAAACACHTuJAyBcvSc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0pt;width:446.25pt;z-index:251661312;mso-width-relative:page;mso-height-relative:page;" filled="f" stroked="t" coordsize="21600,21600" o:gfxdata="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HzkNNMAAAAEAQAADwAAAAAAAAABACAAAAAiAAAAZHJzL2Rv&#10;d25yZXYueG1sUEsBAhQAFAAAAAgAh07iQLKZiej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hint="eastAsia" w:ascii="仿宋_GB2312" w:eastAsia="仿宋_GB2312"/>
          <w:w w:val="90"/>
          <w:sz w:val="32"/>
          <w:szCs w:val="32"/>
        </w:rPr>
        <w:t xml:space="preserve"> 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w w:val="90"/>
          <w:sz w:val="32"/>
          <w:szCs w:val="32"/>
        </w:rPr>
        <w:t>201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w w:val="90"/>
          <w:sz w:val="32"/>
          <w:szCs w:val="32"/>
        </w:rPr>
        <w:t>年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w w:val="90"/>
          <w:sz w:val="32"/>
          <w:szCs w:val="32"/>
        </w:rPr>
        <w:t>月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24日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认定为不合格党员的十种情形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）理想信念缺失，对马克思主义缺乏信仰，对中国特色社会主义缺乏信心，推崇西方价值观念和社会制度，热衷于组织、参加宗教活动和封建迷信活动；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）政治立场动摇，在思想上政治上行动上不能自觉与党中央保持一致，不能严格遵守党的政治纪律和政治规矩，妄议中央大政方针，传播政治谣言及有损党和国家形象的言论；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）党性原则丧失，对组织不忠诚、不老实，欺骗组织、对抗组织，公开扬言退党；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）大局意识缺乏，不支持、不配合党委政府中心工作，恶意阻挠重大项目建设；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）宗旨观念淡薄，服务群众意识差，利己主义严重，与民争利甚至损害群众利益，在人民群众生命财产安全受到威胁时临危退缩；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）法制意识不强，严重违反村规民约、社区公约、机关企事业单位文明规范；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）组织纪律散漫，不按规定参加党的组织生活，不按时交纳党费，不完成党组织分配的任务，不按党的组织原则办事，甚至参加非组织活动；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）工作消极懈怠，不思进取、不负责任、不敢担当，在生产、工作、学习和社会生活中不起先锋模范作用，落后于普通群众；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）道德行为不端，违反社会公德、职业道德、家庭美德，沉迷低级趣味，参与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黄赌毒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，生活作风不检点；</w:t>
      </w:r>
    </w:p>
    <w:p>
      <w:pPr>
        <w:widowControl/>
        <w:spacing w:line="480" w:lineRule="exact"/>
        <w:ind w:firstLine="640" w:firstLineChars="200"/>
        <w:jc w:val="left"/>
        <w:rPr>
          <w:rFonts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宋体" w:hAnsi="宋体" w:eastAsia="仿宋_GB2312" w:cs="宋体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宋体" w:eastAsia="仿宋_GB2312" w:cs="宋体"/>
          <w:color w:val="000000"/>
          <w:kern w:val="0"/>
          <w:sz w:val="32"/>
          <w:szCs w:val="32"/>
        </w:rPr>
        <w:t>）廉洁自律不够，恶意拖欠国家、集体资金，贪图享受、铺张浪费，违反规定操办婚丧喜庆等事宜，借机谋取个人利益。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ascii="方正小标宋简体" w:hAnsi="Cambria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mbria" w:eastAsia="方正小标宋简体" w:cs="Times New Roman"/>
          <w:bCs/>
          <w:sz w:val="36"/>
          <w:szCs w:val="36"/>
        </w:rPr>
        <w:t>浙江工商大学民主评议党员登记表</w:t>
      </w:r>
    </w:p>
    <w:tbl>
      <w:tblPr>
        <w:tblStyle w:val="7"/>
        <w:tblW w:w="9991" w:type="dxa"/>
        <w:jc w:val="center"/>
        <w:tblInd w:w="-6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9"/>
        <w:gridCol w:w="377"/>
        <w:gridCol w:w="2015"/>
        <w:gridCol w:w="425"/>
        <w:gridCol w:w="567"/>
        <w:gridCol w:w="142"/>
        <w:gridCol w:w="58"/>
        <w:gridCol w:w="1076"/>
        <w:gridCol w:w="182"/>
        <w:gridCol w:w="810"/>
        <w:gridCol w:w="202"/>
        <w:gridCol w:w="932"/>
        <w:gridCol w:w="202"/>
        <w:gridCol w:w="496"/>
        <w:gridCol w:w="436"/>
        <w:gridCol w:w="10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参加工作（入学）时间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是否按期转正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党内外职务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20"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659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8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党员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自我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03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党员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自我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03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自评等次(打“√”)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党支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部民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主评</w:t>
            </w:r>
          </w:p>
          <w:p>
            <w:pPr>
              <w:widowControl/>
              <w:spacing w:line="360" w:lineRule="atLeast"/>
              <w:ind w:firstLine="120" w:firstLineChars="50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议情</w:t>
            </w:r>
          </w:p>
          <w:p>
            <w:pPr>
              <w:widowControl/>
              <w:spacing w:line="360" w:lineRule="atLeast"/>
              <w:ind w:firstLine="241" w:firstLineChars="1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903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ind w:firstLine="351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支部评议等次(打“√”)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3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720" w:firstLineChars="3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支部书记签名                             年 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991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1440" w:firstLineChars="6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本人签名                                   年 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上级党组织意见</w:t>
            </w:r>
          </w:p>
        </w:tc>
        <w:tc>
          <w:tcPr>
            <w:tcW w:w="9037" w:type="dxa"/>
            <w:gridSpan w:val="1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37" w:type="dxa"/>
            <w:gridSpan w:val="1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ind w:firstLine="3360" w:firstLineChars="1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ind w:firstLine="3360" w:firstLineChars="1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ind w:firstLine="3360" w:firstLineChars="1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ind w:firstLine="3360" w:firstLineChars="14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ind w:firstLine="4320" w:firstLineChars="1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书记签名：           党组织（盖章）</w:t>
            </w:r>
          </w:p>
          <w:p>
            <w:pPr>
              <w:spacing w:line="360" w:lineRule="atLeast"/>
              <w:ind w:firstLine="43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年      月      日</w:t>
            </w:r>
          </w:p>
        </w:tc>
      </w:tr>
    </w:tbl>
    <w:p/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</w:t>
      </w:r>
      <w:r>
        <w:rPr>
          <w:rFonts w:hint="eastAsia" w:ascii="仿宋_GB2312" w:eastAsia="仿宋_GB2312"/>
          <w:sz w:val="24"/>
          <w:szCs w:val="24"/>
          <w:lang w:eastAsia="zh-CN"/>
        </w:rPr>
        <w:t>件</w:t>
      </w:r>
      <w:r>
        <w:rPr>
          <w:rFonts w:hint="eastAsia" w:ascii="仿宋_GB2312" w:eastAsia="仿宋_GB2312"/>
          <w:sz w:val="24"/>
          <w:szCs w:val="24"/>
        </w:rPr>
        <w:t>3：</w:t>
      </w:r>
      <w:bookmarkStart w:id="1" w:name="_GoBack"/>
      <w:bookmarkEnd w:id="1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浙江工商大学民主评议党员有关情况汇总表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二级党组织名称：                  日期：</w:t>
      </w:r>
    </w:p>
    <w:tbl>
      <w:tblPr>
        <w:tblStyle w:val="7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59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党员姓名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评议等次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处理意见</w:t>
            </w:r>
            <w:r>
              <w:rPr>
                <w:rFonts w:hint="eastAsia" w:ascii="楷体_GB2312" w:eastAsia="楷体_GB2312"/>
                <w:sz w:val="24"/>
                <w:szCs w:val="24"/>
              </w:rPr>
              <w:t>（如有不合格党员，须填写此项）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6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e-height:150%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5396"/>
    <w:rsid w:val="0D0C321D"/>
    <w:rsid w:val="185822E8"/>
    <w:rsid w:val="2D183E5A"/>
    <w:rsid w:val="414C3775"/>
    <w:rsid w:val="70E1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kern w:val="0"/>
      <w:sz w:val="18"/>
      <w:szCs w:val="1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2017-11-24T02:08:39Z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